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597"/>
      <w:bookmarkStart w:id="2" w:name="_Toc15377193"/>
      <w:bookmarkStart w:id="3" w:name="_Toc15396475"/>
      <w:bookmarkStart w:id="4" w:name="_Toc15377425"/>
      <w:bookmarkStart w:id="5" w:name="_Toc15378441"/>
      <w:r>
        <w:rPr>
          <w:rFonts w:ascii="黑体" w:hAnsi="黑体" w:eastAsia="黑体"/>
          <w:sz w:val="72"/>
          <w:szCs w:val="72"/>
        </w:rPr>
        <w:t>2020</w:t>
      </w:r>
      <w:r>
        <w:rPr>
          <w:rFonts w:hint="eastAsia" w:ascii="黑体" w:hAnsi="黑体" w:eastAsia="黑体"/>
          <w:sz w:val="72"/>
          <w:szCs w:val="72"/>
        </w:rPr>
        <w:t>年度</w:t>
      </w:r>
      <w:bookmarkEnd w:id="1"/>
      <w:bookmarkEnd w:id="2"/>
      <w:bookmarkEnd w:id="3"/>
      <w:bookmarkEnd w:id="4"/>
      <w:bookmarkEnd w:id="5"/>
    </w:p>
    <w:p>
      <w:pPr>
        <w:jc w:val="center"/>
        <w:rPr>
          <w:rFonts w:hint="eastAsia" w:ascii="方正小标宋简体" w:eastAsia="方正小标宋简体"/>
          <w:sz w:val="72"/>
          <w:szCs w:val="72"/>
        </w:rPr>
      </w:pPr>
      <w:bookmarkStart w:id="6" w:name="_Toc15377194"/>
      <w:bookmarkStart w:id="7" w:name="_Toc15377426"/>
      <w:bookmarkStart w:id="8" w:name="_Toc15396476"/>
      <w:bookmarkStart w:id="9" w:name="_Toc15378442"/>
      <w:bookmarkStart w:id="10" w:name="_Toc15396598"/>
      <w:r>
        <w:rPr>
          <w:rFonts w:hint="eastAsia" w:ascii="方正小标宋简体" w:eastAsia="方正小标宋简体"/>
          <w:sz w:val="72"/>
          <w:szCs w:val="72"/>
        </w:rPr>
        <w:t>四川省阿坝州</w:t>
      </w:r>
      <w:bookmarkEnd w:id="0"/>
      <w:bookmarkStart w:id="11" w:name="_Toc15306268"/>
    </w:p>
    <w:p>
      <w:pPr>
        <w:jc w:val="center"/>
        <w:rPr>
          <w:rFonts w:ascii="方正小标宋简体" w:eastAsia="方正小标宋简体"/>
          <w:sz w:val="72"/>
          <w:szCs w:val="72"/>
        </w:rPr>
      </w:pPr>
      <w:r>
        <w:rPr>
          <w:rFonts w:hint="eastAsia" w:ascii="方正小标宋简体" w:hAnsi="Times New Roman" w:eastAsia="方正小标宋简体" w:cs="Times New Roman"/>
          <w:sz w:val="72"/>
          <w:szCs w:val="72"/>
        </w:rPr>
        <w:t>汶川县人力资源和社会保障局（本级）</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4"/>
        <w:jc w:val="center"/>
        <w:rPr>
          <w:rFonts w:hAnsiTheme="minorHAnsi"/>
          <w:b w:val="0"/>
          <w:bCs w:val="0"/>
          <w:sz w:val="24"/>
          <w:szCs w:val="24"/>
        </w:rPr>
      </w:pPr>
      <w:r>
        <w:rPr>
          <w:rFonts w:hint="eastAsia" w:hAnsiTheme="minorHAnsi"/>
          <w:b w:val="0"/>
          <w:bCs w:val="0"/>
          <w:sz w:val="24"/>
          <w:szCs w:val="24"/>
        </w:rPr>
        <w:t xml:space="preserve">公开时间：2021年 </w:t>
      </w:r>
      <w:r>
        <w:rPr>
          <w:rFonts w:hAnsiTheme="minorHAnsi"/>
          <w:b w:val="0"/>
          <w:bCs w:val="0"/>
          <w:sz w:val="24"/>
          <w:szCs w:val="24"/>
        </w:rPr>
        <w:t>9</w:t>
      </w:r>
      <w:r>
        <w:rPr>
          <w:rFonts w:hint="eastAsia" w:hAnsiTheme="minorHAnsi"/>
          <w:b w:val="0"/>
          <w:bCs w:val="0"/>
          <w:sz w:val="24"/>
          <w:szCs w:val="24"/>
        </w:rPr>
        <w:t>月</w:t>
      </w:r>
      <w:r>
        <w:rPr>
          <w:rFonts w:hint="eastAsia" w:hAnsiTheme="minorHAnsi"/>
          <w:b w:val="0"/>
          <w:bCs w:val="0"/>
          <w:sz w:val="24"/>
          <w:szCs w:val="24"/>
          <w:lang w:val="en-US" w:eastAsia="zh-CN"/>
        </w:rPr>
        <w:t>14</w:t>
      </w:r>
      <w:r>
        <w:rPr>
          <w:rFonts w:hint="eastAsia" w:hAnsiTheme="minorHAnsi"/>
          <w:b w:val="0"/>
          <w:bCs w:val="0"/>
          <w:sz w:val="24"/>
          <w:szCs w:val="24"/>
        </w:rPr>
        <w:t xml:space="preserve"> 日</w:t>
      </w:r>
    </w:p>
    <w:p>
      <w:pPr>
        <w:pStyle w:val="14"/>
        <w:tabs>
          <w:tab w:val="right" w:leader="dot" w:pos="8296"/>
        </w:tabs>
        <w:rPr>
          <w:rFonts w:hAnsiTheme="minorHAnsi" w:eastAsiaTheme="minorEastAsia" w:cstheme="minorBidi"/>
          <w:b w:val="0"/>
          <w:bCs w:val="0"/>
          <w:caps w:val="0"/>
          <w:sz w:val="21"/>
          <w:szCs w:val="22"/>
        </w:rPr>
      </w:pPr>
      <w:r>
        <w:rPr>
          <w:b w:val="0"/>
          <w:bCs w:val="0"/>
          <w:caps w:val="0"/>
        </w:rPr>
        <w:fldChar w:fldCharType="begin"/>
      </w:r>
      <w:r>
        <w:rPr>
          <w:b w:val="0"/>
          <w:bCs w:val="0"/>
          <w:caps w:val="0"/>
        </w:rPr>
        <w:instrText xml:space="preserve"> TOC \o \u </w:instrText>
      </w:r>
      <w:r>
        <w:rPr>
          <w:b w:val="0"/>
          <w:bCs w:val="0"/>
          <w:caps w:val="0"/>
        </w:rPr>
        <w:fldChar w:fldCharType="separate"/>
      </w:r>
      <w:r>
        <w:rPr>
          <w:rFonts w:ascii="黑体" w:hAnsi="黑体" w:eastAsia="黑体"/>
          <w:b w:val="0"/>
        </w:rPr>
        <w:t xml:space="preserve">第一部分 </w:t>
      </w:r>
      <w:r>
        <w:rPr>
          <w:rFonts w:ascii="黑体" w:hAnsi="黑体" w:eastAsia="黑体"/>
          <w:b w:val="0"/>
          <w:bCs w:val="0"/>
        </w:rPr>
        <w:t>部门概况</w:t>
      </w:r>
      <w:r>
        <w:tab/>
      </w:r>
      <w:r>
        <w:fldChar w:fldCharType="begin"/>
      </w:r>
      <w:r>
        <w:instrText xml:space="preserve"> PAGEREF _Toc79163851 \h </w:instrText>
      </w:r>
      <w:r>
        <w:fldChar w:fldCharType="separate"/>
      </w:r>
      <w:r>
        <w:t>4</w:t>
      </w:r>
      <w:r>
        <w:fldChar w:fldCharType="end"/>
      </w:r>
    </w:p>
    <w:p>
      <w:pPr>
        <w:pStyle w:val="17"/>
        <w:tabs>
          <w:tab w:val="right" w:leader="dot" w:pos="8296"/>
        </w:tabs>
        <w:rPr>
          <w:rFonts w:hAnsiTheme="minorHAnsi" w:eastAsiaTheme="minorEastAsia" w:cstheme="minorBidi"/>
          <w:smallCaps w:val="0"/>
          <w:sz w:val="21"/>
          <w:szCs w:val="22"/>
        </w:rPr>
      </w:pPr>
      <w:r>
        <w:rPr>
          <w:rFonts w:ascii="黑体" w:hAnsi="黑体" w:eastAsia="黑体"/>
          <w:color w:val="000000"/>
        </w:rPr>
        <w:t>一、基</w:t>
      </w:r>
      <w:r>
        <w:rPr>
          <w:rFonts w:ascii="黑体" w:hAnsi="黑体" w:eastAsia="黑体"/>
        </w:rPr>
        <w:t>本职能及主要工作</w:t>
      </w:r>
      <w:r>
        <w:tab/>
      </w:r>
      <w:r>
        <w:fldChar w:fldCharType="begin"/>
      </w:r>
      <w:r>
        <w:instrText xml:space="preserve"> PAGEREF _Toc79163852 \h </w:instrText>
      </w:r>
      <w:r>
        <w:fldChar w:fldCharType="separate"/>
      </w:r>
      <w:r>
        <w:t>4</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Cs/>
          <w:color w:val="000000"/>
        </w:rPr>
        <w:t>（一）主要职能。</w:t>
      </w:r>
      <w:r>
        <w:tab/>
      </w:r>
      <w:r>
        <w:fldChar w:fldCharType="begin"/>
      </w:r>
      <w:r>
        <w:instrText xml:space="preserve"> PAGEREF _Toc79163853 \h </w:instrText>
      </w:r>
      <w:r>
        <w:fldChar w:fldCharType="separate"/>
      </w:r>
      <w:r>
        <w:t>4</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Cs/>
          <w:color w:val="000000"/>
        </w:rPr>
        <w:t>（二）2020年重点工作完成情况。</w:t>
      </w:r>
      <w:r>
        <w:tab/>
      </w:r>
      <w:r>
        <w:fldChar w:fldCharType="begin"/>
      </w:r>
      <w:r>
        <w:instrText xml:space="preserve"> PAGEREF _Toc79163854 \h </w:instrText>
      </w:r>
      <w:r>
        <w:fldChar w:fldCharType="separate"/>
      </w:r>
      <w:r>
        <w:t>4</w:t>
      </w:r>
      <w:r>
        <w:fldChar w:fldCharType="end"/>
      </w:r>
    </w:p>
    <w:p>
      <w:pPr>
        <w:pStyle w:val="17"/>
        <w:tabs>
          <w:tab w:val="right" w:leader="dot" w:pos="8296"/>
        </w:tabs>
        <w:rPr>
          <w:rFonts w:hAnsiTheme="minorHAnsi" w:eastAsiaTheme="minorEastAsia" w:cstheme="minorBidi"/>
          <w:smallCaps w:val="0"/>
          <w:sz w:val="21"/>
          <w:szCs w:val="22"/>
        </w:rPr>
      </w:pPr>
      <w:r>
        <w:rPr>
          <w:rFonts w:ascii="黑体" w:eastAsia="黑体"/>
          <w:color w:val="000000"/>
        </w:rPr>
        <w:t>二、</w:t>
      </w:r>
      <w:r>
        <w:rPr>
          <w:rFonts w:ascii="黑体" w:hAnsi="黑体" w:eastAsia="黑体"/>
          <w:color w:val="000000"/>
        </w:rPr>
        <w:t>机</w:t>
      </w:r>
      <w:r>
        <w:rPr>
          <w:rFonts w:ascii="黑体" w:hAnsi="黑体" w:eastAsia="黑体"/>
        </w:rPr>
        <w:t>构设置</w:t>
      </w:r>
      <w:r>
        <w:tab/>
      </w:r>
      <w:r>
        <w:fldChar w:fldCharType="begin"/>
      </w:r>
      <w:r>
        <w:instrText xml:space="preserve"> PAGEREF _Toc79163855 \h </w:instrText>
      </w:r>
      <w:r>
        <w:fldChar w:fldCharType="separate"/>
      </w:r>
      <w:r>
        <w:t>4</w:t>
      </w:r>
      <w:r>
        <w:fldChar w:fldCharType="end"/>
      </w:r>
    </w:p>
    <w:p>
      <w:pPr>
        <w:pStyle w:val="14"/>
        <w:tabs>
          <w:tab w:val="right" w:leader="dot" w:pos="8296"/>
        </w:tabs>
        <w:rPr>
          <w:rFonts w:hAnsiTheme="minorHAnsi" w:eastAsiaTheme="minorEastAsia" w:cstheme="minorBidi"/>
          <w:b w:val="0"/>
          <w:bCs w:val="0"/>
          <w:caps w:val="0"/>
          <w:sz w:val="21"/>
          <w:szCs w:val="22"/>
        </w:rPr>
      </w:pPr>
      <w:r>
        <w:rPr>
          <w:rFonts w:ascii="黑体" w:hAnsi="黑体" w:eastAsia="黑体"/>
          <w:b w:val="0"/>
          <w:color w:val="000000"/>
        </w:rPr>
        <w:t>第二部分</w:t>
      </w:r>
      <w:r>
        <w:rPr>
          <w:rFonts w:ascii="黑体" w:hAnsi="黑体" w:eastAsia="黑体"/>
          <w:color w:val="000000"/>
        </w:rPr>
        <w:t xml:space="preserve"> </w:t>
      </w:r>
      <w:r>
        <w:rPr>
          <w:rFonts w:ascii="黑体" w:hAnsi="黑体" w:eastAsia="黑体"/>
          <w:b w:val="0"/>
          <w:bCs w:val="0"/>
        </w:rPr>
        <w:t>2020年度部门决算情况说明</w:t>
      </w:r>
      <w:r>
        <w:tab/>
      </w:r>
      <w:r>
        <w:fldChar w:fldCharType="begin"/>
      </w:r>
      <w:r>
        <w:instrText xml:space="preserve"> PAGEREF _Toc79163859 \h </w:instrText>
      </w:r>
      <w:r>
        <w:fldChar w:fldCharType="separate"/>
      </w:r>
      <w:r>
        <w:t>5</w:t>
      </w:r>
      <w:r>
        <w:fldChar w:fldCharType="end"/>
      </w:r>
    </w:p>
    <w:p>
      <w:pPr>
        <w:pStyle w:val="17"/>
        <w:tabs>
          <w:tab w:val="left" w:pos="840"/>
          <w:tab w:val="right" w:leader="dot" w:pos="8296"/>
        </w:tabs>
        <w:rPr>
          <w:rFonts w:hAnsiTheme="minorHAnsi" w:eastAsiaTheme="minorEastAsia" w:cstheme="minorBidi"/>
          <w:smallCaps w:val="0"/>
          <w:sz w:val="21"/>
          <w:szCs w:val="22"/>
        </w:rPr>
      </w:pPr>
      <w:r>
        <w:rPr>
          <w:rFonts w:ascii="黑体" w:hAnsi="黑体" w:eastAsia="黑体"/>
          <w:bCs/>
        </w:rPr>
        <w:t>一、</w:t>
      </w:r>
      <w:r>
        <w:rPr>
          <w:rFonts w:hAnsiTheme="minorHAnsi" w:eastAsiaTheme="minorEastAsia" w:cstheme="minorBidi"/>
          <w:smallCaps w:val="0"/>
          <w:sz w:val="21"/>
          <w:szCs w:val="22"/>
        </w:rPr>
        <w:tab/>
      </w:r>
      <w:r>
        <w:rPr>
          <w:rFonts w:ascii="黑体" w:hAnsi="黑体" w:eastAsia="黑体"/>
          <w:color w:val="000000"/>
        </w:rPr>
        <w:t>收</w:t>
      </w:r>
      <w:r>
        <w:rPr>
          <w:rFonts w:ascii="黑体" w:hAnsi="黑体" w:eastAsia="黑体"/>
          <w:bCs/>
        </w:rPr>
        <w:t>入支出决算总体情况说明</w:t>
      </w:r>
      <w:r>
        <w:tab/>
      </w:r>
      <w:r>
        <w:fldChar w:fldCharType="begin"/>
      </w:r>
      <w:r>
        <w:instrText xml:space="preserve"> PAGEREF _Toc79163860 \h </w:instrText>
      </w:r>
      <w:r>
        <w:fldChar w:fldCharType="separate"/>
      </w:r>
      <w:r>
        <w:t>5</w:t>
      </w:r>
      <w:r>
        <w:fldChar w:fldCharType="end"/>
      </w:r>
    </w:p>
    <w:p>
      <w:pPr>
        <w:pStyle w:val="17"/>
        <w:tabs>
          <w:tab w:val="left" w:pos="840"/>
          <w:tab w:val="right" w:leader="dot" w:pos="8296"/>
        </w:tabs>
        <w:rPr>
          <w:rFonts w:hAnsiTheme="minorHAnsi" w:eastAsiaTheme="minorEastAsia" w:cstheme="minorBidi"/>
          <w:smallCaps w:val="0"/>
          <w:sz w:val="21"/>
          <w:szCs w:val="22"/>
        </w:rPr>
      </w:pPr>
      <w:r>
        <w:rPr>
          <w:rFonts w:ascii="黑体" w:hAnsi="黑体" w:eastAsia="黑体"/>
          <w:bCs/>
        </w:rPr>
        <w:t>二、</w:t>
      </w:r>
      <w:r>
        <w:rPr>
          <w:rFonts w:hAnsiTheme="minorHAnsi" w:eastAsiaTheme="minorEastAsia" w:cstheme="minorBidi"/>
          <w:smallCaps w:val="0"/>
          <w:sz w:val="21"/>
          <w:szCs w:val="22"/>
        </w:rPr>
        <w:tab/>
      </w:r>
      <w:r>
        <w:rPr>
          <w:rFonts w:ascii="黑体" w:hAnsi="黑体" w:eastAsia="黑体"/>
          <w:color w:val="000000"/>
        </w:rPr>
        <w:t>收</w:t>
      </w:r>
      <w:r>
        <w:rPr>
          <w:rFonts w:ascii="黑体" w:hAnsi="黑体" w:eastAsia="黑体"/>
          <w:bCs/>
        </w:rPr>
        <w:t>入决算情况说明</w:t>
      </w:r>
      <w:r>
        <w:tab/>
      </w:r>
      <w:r>
        <w:fldChar w:fldCharType="begin"/>
      </w:r>
      <w:r>
        <w:instrText xml:space="preserve"> PAGEREF _Toc79163861 \h </w:instrText>
      </w:r>
      <w:r>
        <w:fldChar w:fldCharType="separate"/>
      </w:r>
      <w:r>
        <w:t>5</w:t>
      </w:r>
      <w:r>
        <w:fldChar w:fldCharType="end"/>
      </w:r>
    </w:p>
    <w:p>
      <w:pPr>
        <w:pStyle w:val="17"/>
        <w:tabs>
          <w:tab w:val="left" w:pos="840"/>
          <w:tab w:val="right" w:leader="dot" w:pos="8296"/>
        </w:tabs>
        <w:rPr>
          <w:rFonts w:hAnsiTheme="minorHAnsi" w:eastAsiaTheme="minorEastAsia" w:cstheme="minorBidi"/>
          <w:smallCaps w:val="0"/>
          <w:sz w:val="21"/>
          <w:szCs w:val="22"/>
        </w:rPr>
      </w:pPr>
      <w:r>
        <w:rPr>
          <w:rFonts w:ascii="黑体" w:hAnsi="黑体" w:eastAsia="黑体"/>
          <w:bCs/>
        </w:rPr>
        <w:t>三、</w:t>
      </w:r>
      <w:r>
        <w:rPr>
          <w:rFonts w:hAnsiTheme="minorHAnsi" w:eastAsiaTheme="minorEastAsia" w:cstheme="minorBidi"/>
          <w:smallCaps w:val="0"/>
          <w:sz w:val="21"/>
          <w:szCs w:val="22"/>
        </w:rPr>
        <w:tab/>
      </w:r>
      <w:r>
        <w:rPr>
          <w:rFonts w:ascii="黑体" w:hAnsi="黑体" w:eastAsia="黑体"/>
          <w:color w:val="000000"/>
        </w:rPr>
        <w:t>支</w:t>
      </w:r>
      <w:r>
        <w:rPr>
          <w:rFonts w:ascii="黑体" w:hAnsi="黑体" w:eastAsia="黑体"/>
          <w:bCs/>
        </w:rPr>
        <w:t>出决算情况说明</w:t>
      </w:r>
      <w:r>
        <w:tab/>
      </w:r>
      <w:r>
        <w:fldChar w:fldCharType="begin"/>
      </w:r>
      <w:r>
        <w:instrText xml:space="preserve"> PAGEREF _Toc79163862 \h </w:instrText>
      </w:r>
      <w:r>
        <w:fldChar w:fldCharType="separate"/>
      </w:r>
      <w:r>
        <w:t>5</w:t>
      </w:r>
      <w:r>
        <w:fldChar w:fldCharType="end"/>
      </w:r>
    </w:p>
    <w:p>
      <w:pPr>
        <w:pStyle w:val="17"/>
        <w:tabs>
          <w:tab w:val="right" w:leader="dot" w:pos="8296"/>
        </w:tabs>
        <w:rPr>
          <w:rFonts w:hAnsiTheme="minorHAnsi" w:eastAsiaTheme="minorEastAsia" w:cstheme="minorBidi"/>
          <w:smallCaps w:val="0"/>
          <w:sz w:val="21"/>
          <w:szCs w:val="22"/>
        </w:rPr>
      </w:pPr>
      <w:r>
        <w:rPr>
          <w:rFonts w:ascii="黑体" w:hAnsi="黑体" w:eastAsia="黑体"/>
          <w:color w:val="000000"/>
        </w:rPr>
        <w:t>四、财</w:t>
      </w:r>
      <w:r>
        <w:rPr>
          <w:rFonts w:ascii="黑体" w:hAnsi="黑体" w:eastAsia="黑体"/>
          <w:bCs/>
        </w:rPr>
        <w:t>政拨款收入支出决算总体情况说明</w:t>
      </w:r>
      <w:r>
        <w:tab/>
      </w:r>
      <w:r>
        <w:fldChar w:fldCharType="begin"/>
      </w:r>
      <w:r>
        <w:instrText xml:space="preserve"> PAGEREF _Toc79163863 \h </w:instrText>
      </w:r>
      <w:r>
        <w:fldChar w:fldCharType="separate"/>
      </w:r>
      <w:r>
        <w:t>6</w:t>
      </w:r>
      <w:r>
        <w:fldChar w:fldCharType="end"/>
      </w:r>
    </w:p>
    <w:p>
      <w:pPr>
        <w:pStyle w:val="17"/>
        <w:tabs>
          <w:tab w:val="right" w:leader="dot" w:pos="8296"/>
        </w:tabs>
        <w:rPr>
          <w:rFonts w:hAnsiTheme="minorHAnsi" w:eastAsiaTheme="minorEastAsia" w:cstheme="minorBidi"/>
          <w:smallCaps w:val="0"/>
          <w:sz w:val="21"/>
          <w:szCs w:val="22"/>
        </w:rPr>
      </w:pPr>
      <w:r>
        <w:rPr>
          <w:rFonts w:ascii="黑体" w:hAnsi="黑体" w:eastAsia="黑体"/>
          <w:color w:val="000000"/>
        </w:rPr>
        <w:t>五、</w:t>
      </w:r>
      <w:r>
        <w:rPr>
          <w:rFonts w:ascii="黑体" w:hAnsi="黑体" w:eastAsia="黑体"/>
          <w:b/>
          <w:color w:val="000000"/>
        </w:rPr>
        <w:t>一</w:t>
      </w:r>
      <w:r>
        <w:rPr>
          <w:rFonts w:ascii="黑体" w:hAnsi="黑体" w:eastAsia="黑体"/>
          <w:bCs/>
        </w:rPr>
        <w:t>般公共预算财政拨款支出决算情况说明</w:t>
      </w:r>
      <w:r>
        <w:tab/>
      </w:r>
      <w:r>
        <w:fldChar w:fldCharType="begin"/>
      </w:r>
      <w:r>
        <w:instrText xml:space="preserve"> PAGEREF _Toc79163864 \h </w:instrText>
      </w:r>
      <w:r>
        <w:fldChar w:fldCharType="separate"/>
      </w:r>
      <w:r>
        <w:t>6</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
          <w:color w:val="000000"/>
        </w:rPr>
        <w:t>（一）一般公共预算财政拨款支出决算总体情况</w:t>
      </w:r>
      <w:r>
        <w:tab/>
      </w:r>
      <w:r>
        <w:fldChar w:fldCharType="begin"/>
      </w:r>
      <w:r>
        <w:instrText xml:space="preserve"> PAGEREF _Toc79163865 \h </w:instrText>
      </w:r>
      <w:r>
        <w:fldChar w:fldCharType="separate"/>
      </w:r>
      <w:r>
        <w:t>6</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
          <w:color w:val="000000"/>
        </w:rPr>
        <w:t>（二）一般公共预算财政拨款支出决算结构情况</w:t>
      </w:r>
      <w:r>
        <w:tab/>
      </w:r>
      <w:r>
        <w:fldChar w:fldCharType="begin"/>
      </w:r>
      <w:r>
        <w:instrText xml:space="preserve"> PAGEREF _Toc79163866 \h </w:instrText>
      </w:r>
      <w:r>
        <w:fldChar w:fldCharType="separate"/>
      </w:r>
      <w:r>
        <w:t>7</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
          <w:color w:val="000000"/>
        </w:rPr>
        <w:t>（三）一般公共预算财政拨款支出决算具体情况</w:t>
      </w:r>
      <w:r>
        <w:tab/>
      </w:r>
      <w:r>
        <w:fldChar w:fldCharType="begin"/>
      </w:r>
      <w:r>
        <w:instrText xml:space="preserve"> PAGEREF _Toc79163867 \h </w:instrText>
      </w:r>
      <w:r>
        <w:fldChar w:fldCharType="separate"/>
      </w:r>
      <w:r>
        <w:t>7</w:t>
      </w:r>
      <w:r>
        <w:fldChar w:fldCharType="end"/>
      </w:r>
    </w:p>
    <w:p>
      <w:pPr>
        <w:pStyle w:val="17"/>
        <w:tabs>
          <w:tab w:val="right" w:leader="dot" w:pos="8296"/>
        </w:tabs>
        <w:rPr>
          <w:rFonts w:hAnsiTheme="minorHAnsi" w:eastAsiaTheme="minorEastAsia" w:cstheme="minorBidi"/>
          <w:smallCaps w:val="0"/>
          <w:sz w:val="21"/>
          <w:szCs w:val="22"/>
        </w:rPr>
      </w:pPr>
      <w:r>
        <w:rPr>
          <w:rFonts w:ascii="黑体" w:eastAsia="黑体"/>
          <w:color w:val="000000"/>
        </w:rPr>
        <w:t>六</w:t>
      </w:r>
      <w:r>
        <w:rPr>
          <w:rFonts w:ascii="黑体" w:eastAsia="黑体"/>
          <w:b/>
          <w:color w:val="000000"/>
        </w:rPr>
        <w:t>、</w:t>
      </w:r>
      <w:r>
        <w:rPr>
          <w:rFonts w:ascii="黑体" w:hAnsi="黑体" w:eastAsia="黑体"/>
          <w:b/>
          <w:color w:val="000000"/>
        </w:rPr>
        <w:t>一</w:t>
      </w:r>
      <w:r>
        <w:rPr>
          <w:rFonts w:ascii="黑体" w:hAnsi="黑体" w:eastAsia="黑体"/>
          <w:bCs/>
        </w:rPr>
        <w:t>般公共预算财政拨款基本支出决算情况说明</w:t>
      </w:r>
      <w:r>
        <w:tab/>
      </w:r>
      <w:r>
        <w:fldChar w:fldCharType="begin"/>
      </w:r>
      <w:r>
        <w:instrText xml:space="preserve"> PAGEREF _Toc79163868 \h </w:instrText>
      </w:r>
      <w:r>
        <w:fldChar w:fldCharType="separate"/>
      </w:r>
      <w:r>
        <w:t>8</w:t>
      </w:r>
      <w:r>
        <w:fldChar w:fldCharType="end"/>
      </w:r>
    </w:p>
    <w:p>
      <w:pPr>
        <w:pStyle w:val="17"/>
        <w:tabs>
          <w:tab w:val="right" w:leader="dot" w:pos="8296"/>
        </w:tabs>
        <w:rPr>
          <w:rFonts w:hAnsiTheme="minorHAnsi" w:eastAsiaTheme="minorEastAsia" w:cstheme="minorBidi"/>
          <w:smallCaps w:val="0"/>
          <w:sz w:val="21"/>
          <w:szCs w:val="22"/>
        </w:rPr>
      </w:pPr>
      <w:r>
        <w:rPr>
          <w:rFonts w:ascii="黑体" w:eastAsia="黑体"/>
          <w:color w:val="000000"/>
        </w:rPr>
        <w:t>七、</w:t>
      </w:r>
      <w:r>
        <w:rPr>
          <w:rFonts w:ascii="黑体" w:hAnsi="黑体" w:eastAsia="黑体"/>
          <w:b/>
          <w:bCs/>
        </w:rPr>
        <w:t>“</w:t>
      </w:r>
      <w:r>
        <w:rPr>
          <w:rFonts w:ascii="黑体" w:hAnsi="黑体" w:eastAsia="黑体"/>
          <w:bCs/>
        </w:rPr>
        <w:t>三公”经费财政拨款支出决算情况说明</w:t>
      </w:r>
      <w:r>
        <w:tab/>
      </w:r>
      <w:r>
        <w:fldChar w:fldCharType="begin"/>
      </w:r>
      <w:r>
        <w:instrText xml:space="preserve"> PAGEREF _Toc79163869 \h </w:instrText>
      </w:r>
      <w:r>
        <w:fldChar w:fldCharType="separate"/>
      </w:r>
      <w:r>
        <w:t>9</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
          <w:color w:val="000000"/>
        </w:rPr>
        <w:t>（一）“三公”经费财政拨款支出决算总体情况说明</w:t>
      </w:r>
      <w:r>
        <w:tab/>
      </w:r>
      <w:r>
        <w:fldChar w:fldCharType="begin"/>
      </w:r>
      <w:r>
        <w:instrText xml:space="preserve"> PAGEREF _Toc79163870 \h </w:instrText>
      </w:r>
      <w:r>
        <w:fldChar w:fldCharType="separate"/>
      </w:r>
      <w:r>
        <w:t>9</w:t>
      </w:r>
      <w:r>
        <w:fldChar w:fldCharType="end"/>
      </w:r>
    </w:p>
    <w:p>
      <w:pPr>
        <w:pStyle w:val="9"/>
        <w:tabs>
          <w:tab w:val="right" w:leader="dot" w:pos="8296"/>
        </w:tabs>
        <w:rPr>
          <w:rFonts w:hAnsiTheme="minorHAnsi" w:eastAsiaTheme="minorEastAsia" w:cstheme="minorBidi"/>
          <w:i w:val="0"/>
          <w:iCs w:val="0"/>
          <w:sz w:val="21"/>
          <w:szCs w:val="22"/>
        </w:rPr>
      </w:pPr>
      <w:r>
        <w:rPr>
          <w:rFonts w:ascii="仿宋" w:hAnsi="仿宋" w:eastAsia="仿宋"/>
          <w:b/>
          <w:color w:val="000000"/>
        </w:rPr>
        <w:t>（二）“三公”经费财政拨款支出决算具体情况说明</w:t>
      </w:r>
      <w:r>
        <w:tab/>
      </w:r>
      <w:r>
        <w:fldChar w:fldCharType="begin"/>
      </w:r>
      <w:r>
        <w:instrText xml:space="preserve"> PAGEREF _Toc79163871 \h </w:instrText>
      </w:r>
      <w:r>
        <w:fldChar w:fldCharType="separate"/>
      </w:r>
      <w:r>
        <w:t>9</w:t>
      </w:r>
      <w:r>
        <w:fldChar w:fldCharType="end"/>
      </w:r>
    </w:p>
    <w:p>
      <w:pPr>
        <w:pStyle w:val="17"/>
        <w:tabs>
          <w:tab w:val="right" w:leader="dot" w:pos="8296"/>
        </w:tabs>
        <w:rPr>
          <w:rFonts w:hAnsiTheme="minorHAnsi" w:eastAsiaTheme="minorEastAsia" w:cstheme="minorBidi"/>
          <w:smallCaps w:val="0"/>
          <w:sz w:val="21"/>
          <w:szCs w:val="22"/>
        </w:rPr>
      </w:pPr>
      <w:r>
        <w:rPr>
          <w:rFonts w:ascii="黑体" w:eastAsia="黑体"/>
          <w:color w:val="000000"/>
        </w:rPr>
        <w:t>八、</w:t>
      </w:r>
      <w:r>
        <w:rPr>
          <w:rFonts w:ascii="黑体" w:hAnsi="黑体" w:eastAsia="黑体"/>
          <w:bCs/>
        </w:rPr>
        <w:t>政府性基金预算支出决算情况说明</w:t>
      </w:r>
      <w:r>
        <w:tab/>
      </w:r>
      <w:r>
        <w:fldChar w:fldCharType="begin"/>
      </w:r>
      <w:r>
        <w:instrText xml:space="preserve"> PAGEREF _Toc79163872 \h </w:instrText>
      </w:r>
      <w:r>
        <w:fldChar w:fldCharType="separate"/>
      </w:r>
      <w:r>
        <w:t>11</w:t>
      </w:r>
      <w:r>
        <w:fldChar w:fldCharType="end"/>
      </w:r>
    </w:p>
    <w:p>
      <w:pPr>
        <w:pStyle w:val="17"/>
        <w:tabs>
          <w:tab w:val="right" w:leader="dot" w:pos="8296"/>
        </w:tabs>
        <w:rPr>
          <w:rFonts w:hAnsiTheme="minorHAnsi" w:eastAsiaTheme="minorEastAsia" w:cstheme="minorBidi"/>
          <w:smallCaps w:val="0"/>
          <w:sz w:val="21"/>
          <w:szCs w:val="22"/>
        </w:rPr>
      </w:pPr>
      <w:r>
        <w:rPr>
          <w:rFonts w:ascii="黑体" w:hAnsi="黑体" w:eastAsia="黑体"/>
          <w:bCs/>
        </w:rPr>
        <w:t>九、 国有资本经营预算支出决算情况说明</w:t>
      </w:r>
      <w:r>
        <w:tab/>
      </w:r>
      <w:r>
        <w:fldChar w:fldCharType="begin"/>
      </w:r>
      <w:r>
        <w:instrText xml:space="preserve"> PAGEREF _Toc79163873 \h </w:instrText>
      </w:r>
      <w:r>
        <w:fldChar w:fldCharType="separate"/>
      </w:r>
      <w:r>
        <w:t>11</w:t>
      </w:r>
      <w:r>
        <w:fldChar w:fldCharType="end"/>
      </w:r>
    </w:p>
    <w:p>
      <w:pPr>
        <w:pStyle w:val="17"/>
        <w:tabs>
          <w:tab w:val="right" w:leader="dot" w:pos="8296"/>
        </w:tabs>
        <w:rPr>
          <w:rFonts w:hint="default" w:hAnsiTheme="minorHAnsi" w:eastAsiaTheme="minorHAnsi" w:cstheme="minorBidi"/>
          <w:smallCaps w:val="0"/>
          <w:sz w:val="21"/>
          <w:szCs w:val="22"/>
          <w:lang w:val="en-US" w:eastAsia="zh-CN"/>
        </w:rPr>
      </w:pPr>
      <w:r>
        <w:rPr>
          <w:rFonts w:ascii="黑体" w:hAnsi="黑体" w:eastAsia="黑体"/>
          <w:color w:val="000000"/>
        </w:rPr>
        <w:t>十</w:t>
      </w:r>
      <w:r>
        <w:rPr>
          <w:rFonts w:ascii="黑体" w:hAnsi="黑体" w:eastAsia="黑体"/>
          <w:b/>
          <w:bCs/>
        </w:rPr>
        <w:t>、</w:t>
      </w:r>
      <w:r>
        <w:rPr>
          <w:rFonts w:ascii="黑体" w:hAnsi="黑体" w:eastAsia="黑体"/>
          <w:bCs/>
        </w:rPr>
        <w:t>其他重要事项的情况说明</w:t>
      </w:r>
      <w:r>
        <w:tab/>
      </w:r>
      <w:r>
        <w:rPr>
          <w:rFonts w:hint="eastAsia"/>
          <w:lang w:val="en-US" w:eastAsia="zh-CN"/>
        </w:rPr>
        <w:t>16</w:t>
      </w:r>
    </w:p>
    <w:p>
      <w:pPr>
        <w:pStyle w:val="9"/>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（一）机关运行经费支出情况</w:t>
      </w:r>
      <w:r>
        <w:tab/>
      </w:r>
      <w:r>
        <w:rPr>
          <w:rFonts w:hint="eastAsia"/>
          <w:lang w:val="en-US" w:eastAsia="zh-CN"/>
        </w:rPr>
        <w:t>16</w:t>
      </w:r>
    </w:p>
    <w:p>
      <w:pPr>
        <w:pStyle w:val="9"/>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w:t>
      </w:r>
      <w:r>
        <w:rPr>
          <w:rFonts w:hint="eastAsia" w:ascii="仿宋" w:hAnsi="仿宋" w:eastAsia="仿宋"/>
          <w:b/>
          <w:color w:val="000000"/>
          <w:lang w:eastAsia="zh-CN"/>
        </w:rPr>
        <w:t>二</w:t>
      </w:r>
      <w:r>
        <w:rPr>
          <w:rFonts w:ascii="仿宋" w:hAnsi="仿宋" w:eastAsia="仿宋"/>
          <w:b/>
          <w:color w:val="000000"/>
        </w:rPr>
        <w:t>）国有资产占有使用情况</w:t>
      </w:r>
      <w:r>
        <w:tab/>
      </w:r>
      <w:r>
        <w:rPr>
          <w:rFonts w:hint="eastAsia"/>
          <w:lang w:val="en-US" w:eastAsia="zh-CN"/>
        </w:rPr>
        <w:t>17</w:t>
      </w:r>
    </w:p>
    <w:p>
      <w:pPr>
        <w:pStyle w:val="9"/>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w:t>
      </w:r>
      <w:r>
        <w:rPr>
          <w:rFonts w:hint="eastAsia" w:ascii="仿宋" w:hAnsi="仿宋" w:eastAsia="仿宋"/>
          <w:b/>
          <w:color w:val="000000"/>
          <w:lang w:eastAsia="zh-CN"/>
        </w:rPr>
        <w:t>三</w:t>
      </w:r>
      <w:r>
        <w:rPr>
          <w:rFonts w:ascii="仿宋" w:hAnsi="仿宋" w:eastAsia="仿宋"/>
          <w:b/>
          <w:color w:val="000000"/>
        </w:rPr>
        <w:t>）预算绩效管理情况。</w:t>
      </w:r>
      <w:r>
        <w:tab/>
      </w:r>
      <w:r>
        <w:rPr>
          <w:rFonts w:hint="eastAsia"/>
          <w:lang w:val="en-US" w:eastAsia="zh-CN"/>
        </w:rPr>
        <w:t>17</w:t>
      </w:r>
    </w:p>
    <w:p>
      <w:pPr>
        <w:pStyle w:val="14"/>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kern w:val="44"/>
        </w:rPr>
        <w:t>第三部分</w:t>
      </w:r>
      <w:r>
        <w:rPr>
          <w:rFonts w:ascii="黑体" w:hAnsi="黑体" w:eastAsia="黑体"/>
          <w:color w:val="000000"/>
        </w:rPr>
        <w:t xml:space="preserve"> 名</w:t>
      </w:r>
      <w:r>
        <w:rPr>
          <w:rFonts w:ascii="黑体" w:hAnsi="黑体" w:eastAsia="黑体"/>
          <w:kern w:val="44"/>
        </w:rPr>
        <w:t>词解释</w:t>
      </w:r>
      <w:r>
        <w:tab/>
      </w:r>
      <w:r>
        <w:rPr>
          <w:rFonts w:hint="eastAsia"/>
          <w:lang w:val="en-US" w:eastAsia="zh-CN"/>
        </w:rPr>
        <w:t>18</w:t>
      </w:r>
    </w:p>
    <w:p>
      <w:pPr>
        <w:pStyle w:val="14"/>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color w:val="000000"/>
        </w:rPr>
        <w:t>第</w:t>
      </w:r>
      <w:r>
        <w:rPr>
          <w:rFonts w:hint="eastAsia" w:ascii="黑体" w:hAnsi="黑体" w:eastAsia="黑体"/>
          <w:kern w:val="44"/>
          <w:lang w:eastAsia="zh-CN"/>
        </w:rPr>
        <w:t>四</w:t>
      </w:r>
      <w:r>
        <w:rPr>
          <w:rFonts w:ascii="黑体" w:hAnsi="黑体" w:eastAsia="黑体"/>
          <w:kern w:val="44"/>
        </w:rPr>
        <w:t>部分 附表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color w:val="000000"/>
        </w:rPr>
        <w:t>一、收</w:t>
      </w:r>
      <w:r>
        <w:rPr>
          <w:rFonts w:ascii="仿宋" w:hAnsi="仿宋" w:eastAsia="仿宋"/>
        </w:rPr>
        <w:t>入支出决算总表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color w:val="000000"/>
        </w:rPr>
        <w:t>二、收</w:t>
      </w:r>
      <w:r>
        <w:rPr>
          <w:rFonts w:ascii="仿宋" w:hAnsi="仿宋" w:eastAsia="仿宋"/>
        </w:rPr>
        <w:t>入决算表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三、</w:t>
      </w:r>
      <w:r>
        <w:rPr>
          <w:rFonts w:ascii="仿宋" w:hAnsi="仿宋" w:eastAsia="仿宋"/>
          <w:color w:val="000000"/>
        </w:rPr>
        <w:t>支</w:t>
      </w:r>
      <w:r>
        <w:rPr>
          <w:rFonts w:ascii="仿宋" w:hAnsi="仿宋" w:eastAsia="仿宋"/>
        </w:rPr>
        <w:t>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四、</w:t>
      </w:r>
      <w:r>
        <w:rPr>
          <w:rFonts w:ascii="仿宋" w:hAnsi="仿宋" w:eastAsia="仿宋"/>
          <w:color w:val="000000"/>
        </w:rPr>
        <w:t>财</w:t>
      </w:r>
      <w:r>
        <w:rPr>
          <w:rFonts w:ascii="仿宋" w:hAnsi="仿宋" w:eastAsia="仿宋"/>
        </w:rPr>
        <w:t>政拨款收入支出决算总表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五、</w:t>
      </w:r>
      <w:r>
        <w:rPr>
          <w:rFonts w:ascii="仿宋" w:hAnsi="仿宋" w:eastAsia="仿宋"/>
          <w:color w:val="000000"/>
        </w:rPr>
        <w:t>财</w:t>
      </w:r>
      <w:r>
        <w:rPr>
          <w:rFonts w:ascii="仿宋" w:hAnsi="仿宋" w:eastAsia="仿宋"/>
        </w:rPr>
        <w:t>政拨款支出决算明细表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六、</w:t>
      </w:r>
      <w:r>
        <w:rPr>
          <w:rFonts w:ascii="仿宋" w:hAnsi="仿宋" w:eastAsia="仿宋"/>
          <w:color w:val="000000"/>
        </w:rPr>
        <w:t>一</w:t>
      </w:r>
      <w:r>
        <w:rPr>
          <w:rFonts w:ascii="仿宋" w:hAnsi="仿宋" w:eastAsia="仿宋"/>
        </w:rPr>
        <w:t>般公共预算财政拨款支出决算表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七、</w:t>
      </w:r>
      <w:r>
        <w:rPr>
          <w:rFonts w:ascii="仿宋" w:hAnsi="仿宋" w:eastAsia="仿宋"/>
          <w:color w:val="000000"/>
        </w:rPr>
        <w:t>一</w:t>
      </w:r>
      <w:r>
        <w:rPr>
          <w:rFonts w:ascii="仿宋" w:hAnsi="仿宋" w:eastAsia="仿宋"/>
        </w:rPr>
        <w:t>般公共预算财政拨款支出决算明细表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八、</w:t>
      </w:r>
      <w:r>
        <w:rPr>
          <w:rFonts w:ascii="仿宋" w:hAnsi="仿宋" w:eastAsia="仿宋"/>
          <w:color w:val="000000"/>
        </w:rPr>
        <w:t>一</w:t>
      </w:r>
      <w:r>
        <w:rPr>
          <w:rFonts w:ascii="仿宋" w:hAnsi="仿宋" w:eastAsia="仿宋"/>
        </w:rPr>
        <w:t>般公共预算财政拨款基本支出决算表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九、</w:t>
      </w:r>
      <w:r>
        <w:rPr>
          <w:rFonts w:ascii="仿宋" w:hAnsi="仿宋" w:eastAsia="仿宋"/>
          <w:color w:val="000000"/>
        </w:rPr>
        <w:t>一</w:t>
      </w:r>
      <w:r>
        <w:rPr>
          <w:rFonts w:ascii="仿宋" w:hAnsi="仿宋" w:eastAsia="仿宋"/>
        </w:rPr>
        <w:t>般公共预算财政拨款项目支出决算表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w:t>
      </w:r>
      <w:r>
        <w:rPr>
          <w:rFonts w:ascii="仿宋" w:hAnsi="仿宋" w:eastAsia="仿宋"/>
          <w:color w:val="000000"/>
        </w:rPr>
        <w:t>一</w:t>
      </w:r>
      <w:r>
        <w:rPr>
          <w:rFonts w:ascii="仿宋" w:hAnsi="仿宋" w:eastAsia="仿宋"/>
        </w:rPr>
        <w:t>般公共预算财政拨款“三公”经费支出决算表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十一、</w:t>
      </w:r>
      <w:r>
        <w:rPr>
          <w:rFonts w:ascii="仿宋" w:hAnsi="仿宋" w:eastAsia="仿宋"/>
          <w:color w:val="000000"/>
        </w:rPr>
        <w:t>政</w:t>
      </w:r>
      <w:r>
        <w:rPr>
          <w:rFonts w:ascii="仿宋" w:hAnsi="仿宋" w:eastAsia="仿宋"/>
        </w:rPr>
        <w:t>府性基金预算财政拨款收入支出决算表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十二、</w:t>
      </w:r>
      <w:r>
        <w:rPr>
          <w:rFonts w:ascii="仿宋" w:hAnsi="仿宋" w:eastAsia="仿宋"/>
          <w:color w:val="000000"/>
        </w:rPr>
        <w:t>政</w:t>
      </w:r>
      <w:r>
        <w:rPr>
          <w:rFonts w:ascii="仿宋" w:hAnsi="仿宋" w:eastAsia="仿宋"/>
        </w:rPr>
        <w:t>府性基金预算财政拨款“三公”经费支出决算表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十三、</w:t>
      </w:r>
      <w:r>
        <w:rPr>
          <w:rFonts w:ascii="仿宋" w:hAnsi="仿宋" w:eastAsia="仿宋"/>
          <w:color w:val="000000"/>
        </w:rPr>
        <w:t>国</w:t>
      </w:r>
      <w:r>
        <w:rPr>
          <w:rFonts w:ascii="仿宋" w:hAnsi="仿宋" w:eastAsia="仿宋"/>
        </w:rPr>
        <w:t>有资本经营预算财政拨款支出决算表</w:t>
      </w:r>
      <w:r>
        <w:tab/>
      </w:r>
      <w:r>
        <w:rPr>
          <w:rFonts w:hint="eastAsia"/>
          <w:lang w:val="en-US" w:eastAsia="zh-CN"/>
        </w:rPr>
        <w:t>22</w:t>
      </w:r>
    </w:p>
    <w:p>
      <w:pPr>
        <w:pStyle w:val="17"/>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十四、国有资本经营预算财政拨款支出决算表</w:t>
      </w:r>
      <w:r>
        <w:tab/>
      </w:r>
      <w:r>
        <w:rPr>
          <w:rFonts w:hint="eastAsia"/>
          <w:lang w:val="en-US" w:eastAsia="zh-CN"/>
        </w:rPr>
        <w:t>22</w:t>
      </w:r>
    </w:p>
    <w:p>
      <w:r>
        <w:rPr>
          <w:rFonts w:asciiTheme="minorHAnsi" w:eastAsiaTheme="minorHAnsi"/>
          <w:b/>
          <w:bCs/>
          <w:caps/>
          <w:sz w:val="20"/>
          <w:szCs w:val="20"/>
        </w:rPr>
        <w:fldChar w:fldCharType="end"/>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bookmarkStart w:id="14" w:name="_Toc79163851"/>
      <w:bookmarkStart w:id="15" w:name="_Toc79163601"/>
      <w:r>
        <w:rPr>
          <w:rFonts w:hint="eastAsia" w:ascii="黑体" w:hAnsi="黑体" w:eastAsia="黑体"/>
          <w:b w:val="0"/>
        </w:rPr>
        <w:t>第一部分</w:t>
      </w:r>
      <w:r>
        <w:rPr>
          <w:rFonts w:ascii="黑体" w:hAnsi="黑体" w:eastAsia="黑体"/>
          <w:b w:val="0"/>
        </w:rPr>
        <w:t xml:space="preserve"> </w:t>
      </w:r>
      <w:r>
        <w:rPr>
          <w:rStyle w:val="24"/>
          <w:rFonts w:hint="eastAsia" w:ascii="黑体" w:hAns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4"/>
        <w:rPr>
          <w:rStyle w:val="25"/>
          <w:rFonts w:ascii="仿宋" w:hAnsi="仿宋" w:eastAsia="仿宋"/>
          <w:b w:val="0"/>
          <w:bCs w:val="0"/>
        </w:rPr>
      </w:pPr>
      <w:bookmarkStart w:id="16" w:name="_Toc15396600"/>
      <w:bookmarkStart w:id="17" w:name="_Toc79163852"/>
      <w:bookmarkStart w:id="18" w:name="_Toc79163602"/>
      <w:bookmarkStart w:id="19"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bookmarkEnd w:id="18"/>
      <w:bookmarkEnd w:id="19"/>
    </w:p>
    <w:p>
      <w:pPr>
        <w:pStyle w:val="7"/>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79163603"/>
      <w:bookmarkStart w:id="21" w:name="_Toc79163853"/>
      <w:bookmarkStart w:id="22" w:name="_Toc15378445"/>
      <w:bookmarkStart w:id="23" w:name="_Toc15377198"/>
      <w:r>
        <w:rPr>
          <w:rFonts w:hint="eastAsia" w:ascii="仿宋" w:hAnsi="仿宋" w:eastAsia="仿宋"/>
          <w:bCs/>
          <w:color w:val="000000"/>
          <w:sz w:val="32"/>
          <w:szCs w:val="32"/>
        </w:rPr>
        <w:t>（一）主要职能。</w:t>
      </w:r>
      <w:bookmarkEnd w:id="20"/>
      <w:bookmarkEnd w:id="21"/>
    </w:p>
    <w:bookmarkEnd w:id="22"/>
    <w:bookmarkEnd w:id="23"/>
    <w:p>
      <w:pPr>
        <w:pStyle w:val="19"/>
        <w:keepNext w:val="0"/>
        <w:keepLines w:val="0"/>
        <w:widowControl/>
        <w:suppressLineNumbers w:val="0"/>
        <w:ind w:left="0" w:right="75"/>
        <w:rPr>
          <w:rFonts w:hint="eastAsia" w:ascii="仿宋_GB2312" w:hAnsi="仿宋_GB2312" w:eastAsia="仿宋_GB2312" w:cs="仿宋_GB2312"/>
          <w:sz w:val="32"/>
          <w:szCs w:val="32"/>
          <w:shd w:val="clear" w:color="auto" w:fill="FFFFFF"/>
        </w:rPr>
      </w:pPr>
      <w:bookmarkStart w:id="24" w:name="_Toc79163604"/>
      <w:bookmarkStart w:id="25" w:name="_Toc79163854"/>
      <w:bookmarkStart w:id="26" w:name="_Toc15378446"/>
      <w:bookmarkStart w:id="27" w:name="_Toc15377199"/>
      <w:r>
        <w:rPr>
          <w:rFonts w:hint="eastAsia" w:ascii="仿宋_GB2312" w:hAnsi="仿宋_GB2312" w:eastAsia="仿宋_GB2312" w:cs="仿宋_GB2312"/>
          <w:sz w:val="32"/>
          <w:szCs w:val="32"/>
          <w:shd w:val="clear" w:color="auto" w:fill="FFFFFF"/>
        </w:rPr>
        <w:t>1．主要职能</w:t>
      </w:r>
    </w:p>
    <w:p>
      <w:pPr>
        <w:pStyle w:val="19"/>
        <w:keepNext w:val="0"/>
        <w:keepLines w:val="0"/>
        <w:widowControl/>
        <w:suppressLineNumbers w:val="0"/>
        <w:ind w:right="7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根据汶府办发〔2015〕19号文件规定，主要职责是：</w:t>
      </w:r>
    </w:p>
    <w:p>
      <w:pPr>
        <w:pStyle w:val="19"/>
        <w:keepNext w:val="0"/>
        <w:keepLines w:val="0"/>
        <w:pageBreakBefore w:val="0"/>
        <w:widowControl/>
        <w:suppressLineNumbers w:val="0"/>
        <w:kinsoku/>
        <w:wordWrap/>
        <w:overflowPunct/>
        <w:topLinePunct w:val="0"/>
        <w:autoSpaceDE/>
        <w:autoSpaceDN/>
        <w:bidi w:val="0"/>
        <w:adjustRightInd/>
        <w:snapToGrid/>
        <w:ind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 xml:space="preserve">贯彻执行人力资源和社会保障法律、法规、规章方针政策，拟订全县人力资源和社会保障发展规划，并组织实施和监督检查。 </w:t>
      </w:r>
    </w:p>
    <w:p>
      <w:pPr>
        <w:pStyle w:val="19"/>
        <w:keepNext w:val="0"/>
        <w:keepLines w:val="0"/>
        <w:pageBreakBefore w:val="0"/>
        <w:widowControl/>
        <w:suppressLineNumbers w:val="0"/>
        <w:kinsoku/>
        <w:wordWrap/>
        <w:overflowPunct/>
        <w:topLinePunct w:val="0"/>
        <w:autoSpaceDE/>
        <w:autoSpaceDN/>
        <w:bidi w:val="0"/>
        <w:adjustRightInd/>
        <w:snapToGrid/>
        <w:ind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 xml:space="preserve">负责贯彻执行行政机关公务员录用、考核、职务任免与升降、奖惩、培训、交流与回避、辞职辞退、申诉控告、职位聘任等方面的法律、法规、规章和方针政策，落实公务员管理的地方性法规、规章，负责行政机关公务员综合管理；承办提请县人大常委会和县政府决定的人事任免事项。 </w:t>
      </w:r>
    </w:p>
    <w:p>
      <w:pPr>
        <w:pStyle w:val="19"/>
        <w:keepNext w:val="0"/>
        <w:keepLines w:val="0"/>
        <w:pageBreakBefore w:val="0"/>
        <w:widowControl/>
        <w:suppressLineNumbers w:val="0"/>
        <w:kinsoku/>
        <w:wordWrap/>
        <w:overflowPunct/>
        <w:topLinePunct w:val="0"/>
        <w:autoSpaceDE/>
        <w:autoSpaceDN/>
        <w:bidi w:val="0"/>
        <w:adjustRightInd/>
        <w:snapToGrid/>
        <w:ind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 xml:space="preserve">牵头组织推进事业单位人事制度改革，贯彻落实事业单位聘任制度；组织实施事业单位人员和机关工勤人员管理政策的措施和办法；贯彻执行专业技术人员管理和继续教育政策；负责职称、专家综合管理和高层次专业技术人才选拔、培养工作。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 xml:space="preserve">牵头贯彻落实机关事业单位人员工资收入分配、津补贴政策和企业职工工资收入分配的调控政策、措施，建立机关企事业单位人员工资正常增长和支付保障机制；认真贯彻落实机关企事业单位人员福利、工伤和退休政策。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 xml:space="preserve">拟订贯彻执行人力资源市场发展规划和人力资源流动政策的具体办法，建立统一规范的人力资源市场，促进人力资源合理流动和有效配置；综合管理人力资源市场和流动调配工作；负责人才开发和人才交流等管理服务工作。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 xml:space="preserve">负责促进就业工作，拟订统筹城乡就业再就业发展规划，完善公共就业服务体系，拟订就业培训、就业援助制度；牵头贯彻落实高校毕业生就业政策。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 xml:space="preserve">拟订实施城乡劳动者职业培训和高技能人才、农村实用人才培养和激励政策的具体办法。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 xml:space="preserve">建立覆盖城乡的社会保障体系，统筹城乡社会保险及其补充保险政策的贯彻落实，执行国家、省、州社会保险关系转移接续办法；贯彻执行社会保险及其补充保险基金管理和监督制度，承担社会保险及其补充保险基金行政监督责任。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 xml:space="preserve">负责统筹城乡就业、失业、社会保险基金预测预警和信息引导，拟订应对预案，实施预防、调节和控制，确保就业形势的基本稳定和社会保险基金总体收支平衡。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 xml:space="preserve">贯彻执行农村劳务开发管理及农民工工作综合性政策和规划，推动农村劳务开发及农民工相关政策的落实，协调解决重点难点问题，维护农民工合法权益。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(12)</w:t>
      </w:r>
      <w:r>
        <w:rPr>
          <w:rFonts w:hint="eastAsia" w:ascii="仿宋_GB2312" w:hAnsi="仿宋_GB2312" w:eastAsia="仿宋_GB2312" w:cs="仿宋_GB2312"/>
          <w:sz w:val="32"/>
          <w:szCs w:val="32"/>
          <w:shd w:val="clear" w:color="auto" w:fill="FFFFFF"/>
        </w:rPr>
        <w:t xml:space="preserve">负责贯彻执行劳动、人事争议调解仲裁制度和劳动关系政策，完善劳动关系协调机制；贯彻执行消除非法使用童工政策和女工、未成年工的特殊劳动保护政策；组织实施劳动、人事保障监督监察，协调劳动、人事维权工作，依法查处违法案件。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(13)</w:t>
      </w:r>
      <w:r>
        <w:rPr>
          <w:rFonts w:hint="eastAsia" w:ascii="仿宋_GB2312" w:hAnsi="仿宋_GB2312" w:eastAsia="仿宋_GB2312" w:cs="仿宋_GB2312"/>
          <w:sz w:val="32"/>
          <w:szCs w:val="32"/>
          <w:shd w:val="clear" w:color="auto" w:fill="FFFFFF"/>
        </w:rPr>
        <w:t xml:space="preserve">承担县政府公布的有关行政审批事项。 </w:t>
      </w:r>
    </w:p>
    <w:p>
      <w:pPr>
        <w:pStyle w:val="19"/>
        <w:keepNext w:val="0"/>
        <w:keepLines w:val="0"/>
        <w:pageBreakBefore w:val="0"/>
        <w:widowControl/>
        <w:suppressLineNumbers w:val="0"/>
        <w:kinsoku/>
        <w:wordWrap/>
        <w:overflowPunct/>
        <w:topLinePunct w:val="0"/>
        <w:autoSpaceDE/>
        <w:autoSpaceDN/>
        <w:bidi w:val="0"/>
        <w:adjustRightInd/>
        <w:snapToGrid/>
        <w:ind w:left="0" w:right="74"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(14)</w:t>
      </w:r>
      <w:r>
        <w:rPr>
          <w:rFonts w:hint="eastAsia" w:ascii="仿宋_GB2312" w:hAnsi="仿宋_GB2312" w:eastAsia="仿宋_GB2312" w:cs="仿宋_GB2312"/>
          <w:sz w:val="32"/>
          <w:szCs w:val="32"/>
          <w:shd w:val="clear" w:color="auto" w:fill="FFFFFF"/>
        </w:rPr>
        <w:t>承办县政府交办的其它事项。</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4"/>
      <w:bookmarkEnd w:id="25"/>
      <w:bookmarkEnd w:id="26"/>
      <w:bookmarkEnd w:id="27"/>
    </w:p>
    <w:p>
      <w:pPr>
        <w:pStyle w:val="19"/>
        <w:keepNext w:val="0"/>
        <w:keepLines w:val="0"/>
        <w:widowControl/>
        <w:suppressLineNumbers w:val="0"/>
        <w:ind w:left="0" w:right="75"/>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一、概述单位工作开展情况及主要事业成效。</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一是全力抓好</w:t>
      </w:r>
      <w:r>
        <w:rPr>
          <w:rFonts w:hint="eastAsia" w:ascii="仿宋_GB2312" w:hAnsi="仿宋_GB2312" w:eastAsia="仿宋_GB2312" w:cs="仿宋_GB2312"/>
          <w:sz w:val="32"/>
          <w:szCs w:val="32"/>
          <w:shd w:val="clear" w:color="auto" w:fill="FFFFFF"/>
        </w:rPr>
        <w:t>人社扶贫。</w:t>
      </w:r>
      <w:r>
        <w:rPr>
          <w:rFonts w:hint="eastAsia" w:ascii="仿宋_GB2312" w:hAnsi="仿宋_GB2312" w:eastAsia="仿宋_GB2312" w:cs="仿宋_GB2312"/>
          <w:sz w:val="32"/>
          <w:szCs w:val="32"/>
          <w:shd w:val="clear" w:color="auto" w:fill="FFFFFF"/>
          <w:lang w:val="en-US" w:eastAsia="zh-CN"/>
        </w:rPr>
        <w:t>建成来料加工扶贫车间35个，总面积达到12000平方米，参与加工1000余人次，月增收1300元，熟练工月增收1700元/月，加工量达450万件，兑付加工费达567万元</w:t>
      </w:r>
      <w:r>
        <w:rPr>
          <w:rFonts w:hint="eastAsia" w:ascii="仿宋_GB2312" w:hAnsi="仿宋_GB2312" w:eastAsia="仿宋_GB2312" w:cs="仿宋_GB2312"/>
          <w:sz w:val="32"/>
          <w:szCs w:val="32"/>
          <w:shd w:val="clear" w:color="auto" w:fill="FFFFFF"/>
        </w:rPr>
        <w:t>。公益性岗位安置</w:t>
      </w:r>
      <w:r>
        <w:rPr>
          <w:rFonts w:hint="eastAsia" w:ascii="仿宋_GB2312" w:hAnsi="仿宋_GB2312" w:eastAsia="仿宋_GB2312" w:cs="仿宋_GB2312"/>
          <w:sz w:val="32"/>
          <w:szCs w:val="32"/>
          <w:shd w:val="clear" w:color="auto" w:fill="FFFFFF"/>
          <w:lang w:val="en-US" w:eastAsia="zh-CN"/>
        </w:rPr>
        <w:t>1918</w:t>
      </w:r>
      <w:r>
        <w:rPr>
          <w:rFonts w:hint="eastAsia" w:ascii="仿宋_GB2312" w:hAnsi="仿宋_GB2312" w:eastAsia="仿宋_GB2312" w:cs="仿宋_GB2312"/>
          <w:sz w:val="32"/>
          <w:szCs w:val="32"/>
          <w:shd w:val="clear" w:color="auto" w:fill="FFFFFF"/>
        </w:rPr>
        <w:t>人</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托底安置贫困人员450人；组织转移贫困劳动力到浙江及省外就业 95人，发放贫困劳动力转移稳岗补贴、生活补贴、务工补贴、交通补贴合计32.5万元；为1655名贫困人口代缴养老保险，共有1220名贫困人口领取养老保险待遇。</w:t>
      </w:r>
      <w:r>
        <w:rPr>
          <w:rFonts w:hint="eastAsia" w:ascii="仿宋_GB2312" w:hAnsi="仿宋_GB2312" w:eastAsia="仿宋_GB2312" w:cs="仿宋_GB2312"/>
          <w:sz w:val="32"/>
          <w:szCs w:val="32"/>
          <w:shd w:val="clear" w:color="auto" w:fill="FFFFFF"/>
        </w:rPr>
        <w:t>招募和续聘“三支一扶”人员</w:t>
      </w:r>
      <w:r>
        <w:rPr>
          <w:rFonts w:hint="eastAsia" w:ascii="仿宋_GB2312" w:hAnsi="仿宋_GB2312" w:eastAsia="仿宋_GB2312" w:cs="仿宋_GB2312"/>
          <w:sz w:val="32"/>
          <w:szCs w:val="32"/>
          <w:shd w:val="clear" w:color="auto" w:fill="FFFFFF"/>
          <w:lang w:val="en-US" w:eastAsia="zh-CN"/>
        </w:rPr>
        <w:t>12</w:t>
      </w:r>
      <w:r>
        <w:rPr>
          <w:rFonts w:hint="eastAsia" w:ascii="仿宋_GB2312" w:hAnsi="仿宋_GB2312" w:eastAsia="仿宋_GB2312" w:cs="仿宋_GB2312"/>
          <w:sz w:val="32"/>
          <w:szCs w:val="32"/>
          <w:shd w:val="clear" w:color="auto" w:fill="FFFFFF"/>
        </w:rPr>
        <w:t>名，全部充实到脱贫攻坚一线。</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二是全力抓好就业创业。全县城镇新增就业786人，失业人员再就业96人，就业困难人员实现再就业24人。城镇登记失业率控制在3.73%，动态消除零就业家庭。转移输出农村劳动力1.8226万人，实现劳务收入4.9424亿元。</w:t>
      </w:r>
      <w:r>
        <w:rPr>
          <w:rFonts w:hint="eastAsia" w:ascii="仿宋_GB2312" w:hAnsi="仿宋_GB2312" w:eastAsia="仿宋_GB2312" w:cs="仿宋_GB2312"/>
          <w:sz w:val="32"/>
          <w:szCs w:val="32"/>
          <w:shd w:val="clear" w:color="auto" w:fill="FFFFFF"/>
        </w:rPr>
        <w:t>开展技能品牌、企业职工技能提升以及来料加工等培训</w:t>
      </w:r>
      <w:r>
        <w:rPr>
          <w:rFonts w:hint="eastAsia" w:ascii="仿宋_GB2312" w:hAnsi="仿宋_GB2312" w:eastAsia="仿宋_GB2312" w:cs="仿宋_GB2312"/>
          <w:sz w:val="32"/>
          <w:szCs w:val="32"/>
          <w:shd w:val="clear" w:color="auto" w:fill="FFFFFF"/>
          <w:lang w:val="en-US" w:eastAsia="zh-CN"/>
        </w:rPr>
        <w:t>59</w:t>
      </w:r>
      <w:r>
        <w:rPr>
          <w:rFonts w:hint="eastAsia" w:ascii="仿宋_GB2312" w:hAnsi="仿宋_GB2312" w:eastAsia="仿宋_GB2312" w:cs="仿宋_GB2312"/>
          <w:sz w:val="32"/>
          <w:szCs w:val="32"/>
          <w:shd w:val="clear" w:color="auto" w:fill="FFFFFF"/>
        </w:rPr>
        <w:t>期</w:t>
      </w:r>
      <w:r>
        <w:rPr>
          <w:rFonts w:hint="eastAsia" w:ascii="仿宋_GB2312" w:hAnsi="仿宋_GB2312" w:eastAsia="仿宋_GB2312" w:cs="仿宋_GB2312"/>
          <w:sz w:val="32"/>
          <w:szCs w:val="32"/>
          <w:shd w:val="clear" w:color="auto" w:fill="FFFFFF"/>
          <w:lang w:val="en-US" w:eastAsia="zh-CN"/>
        </w:rPr>
        <w:t>2481</w:t>
      </w:r>
      <w:r>
        <w:rPr>
          <w:rFonts w:hint="eastAsia" w:ascii="仿宋_GB2312" w:hAnsi="仿宋_GB2312" w:eastAsia="仿宋_GB2312" w:cs="仿宋_GB2312"/>
          <w:sz w:val="32"/>
          <w:szCs w:val="32"/>
          <w:shd w:val="clear" w:color="auto" w:fill="FFFFFF"/>
        </w:rPr>
        <w:t>人次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组织开展</w:t>
      </w:r>
      <w:r>
        <w:rPr>
          <w:rFonts w:hint="eastAsia" w:ascii="仿宋_GB2312" w:hAnsi="仿宋_GB2312" w:eastAsia="仿宋_GB2312" w:cs="仿宋_GB2312"/>
          <w:sz w:val="32"/>
          <w:szCs w:val="32"/>
          <w:shd w:val="clear" w:color="auto" w:fill="FFFFFF"/>
        </w:rPr>
        <w:t>各类招聘会</w:t>
      </w:r>
      <w:r>
        <w:rPr>
          <w:rFonts w:hint="eastAsia" w:ascii="仿宋_GB2312" w:hAnsi="仿宋_GB2312" w:eastAsia="仿宋_GB2312" w:cs="仿宋_GB2312"/>
          <w:sz w:val="32"/>
          <w:szCs w:val="32"/>
          <w:shd w:val="clear" w:color="auto" w:fill="FFFFFF"/>
          <w:lang w:val="en-US" w:eastAsia="zh-CN"/>
        </w:rPr>
        <w:t>20</w:t>
      </w:r>
      <w:r>
        <w:rPr>
          <w:rFonts w:hint="eastAsia" w:ascii="仿宋_GB2312" w:hAnsi="仿宋_GB2312" w:eastAsia="仿宋_GB2312" w:cs="仿宋_GB2312"/>
          <w:sz w:val="32"/>
          <w:szCs w:val="32"/>
          <w:shd w:val="clear" w:color="auto" w:fill="FFFFFF"/>
        </w:rPr>
        <w:t>场，达成就业意向</w:t>
      </w:r>
      <w:r>
        <w:rPr>
          <w:rFonts w:hint="eastAsia" w:ascii="仿宋_GB2312" w:hAnsi="仿宋_GB2312" w:eastAsia="仿宋_GB2312" w:cs="仿宋_GB2312"/>
          <w:sz w:val="32"/>
          <w:szCs w:val="32"/>
          <w:shd w:val="clear" w:color="auto" w:fill="FFFFFF"/>
          <w:lang w:val="en-US" w:eastAsia="zh-CN"/>
        </w:rPr>
        <w:t>820</w:t>
      </w:r>
      <w:r>
        <w:rPr>
          <w:rFonts w:hint="eastAsia" w:ascii="仿宋_GB2312" w:hAnsi="仿宋_GB2312" w:eastAsia="仿宋_GB2312" w:cs="仿宋_GB2312"/>
          <w:sz w:val="32"/>
          <w:szCs w:val="32"/>
          <w:shd w:val="clear" w:color="auto" w:fill="FFFFFF"/>
        </w:rPr>
        <w:t>人次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向113户企业发放稳岗补贴197.28万元，惠及职工2739人，向25户认定困难企业发放稳岗返还2776.35万元，惠及职工3116人，向11名职工发放技能提升补贴1.66万元。成功举办阿坝州第四届特色美食烹饪技能大赛暨美食展。积极推进阿坝州创业孵化基地建设，将于12月底完成主体建设。</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三是全力抓好社会保障。养老保险、工伤保险、失业保险参保分别达67786人、14186人、12848 人；累计征收养老保险、失业保险、 工伤保险基金达1.7571亿元。为企业离退休人员发放养老金33048万元，为机关离退休人员发放养老金11907万元，为城乡居民发放养老金871.81万元。支付失业保险待遇224.34万元。</w:t>
      </w:r>
      <w:r>
        <w:rPr>
          <w:rFonts w:hint="eastAsia" w:ascii="仿宋_GB2312" w:hAnsi="仿宋_GB2312" w:eastAsia="仿宋_GB2312" w:cs="仿宋_GB2312"/>
          <w:sz w:val="32"/>
          <w:szCs w:val="32"/>
          <w:shd w:val="clear" w:color="auto" w:fill="FFFFFF"/>
        </w:rPr>
        <w:t>办理工伤认定案件</w:t>
      </w:r>
      <w:r>
        <w:rPr>
          <w:rFonts w:hint="eastAsia" w:ascii="仿宋_GB2312" w:hAnsi="仿宋_GB2312" w:eastAsia="仿宋_GB2312" w:cs="仿宋_GB2312"/>
          <w:sz w:val="32"/>
          <w:szCs w:val="32"/>
          <w:shd w:val="clear" w:color="auto" w:fill="FFFFFF"/>
          <w:lang w:val="en-US" w:eastAsia="zh-CN"/>
        </w:rPr>
        <w:t>44</w:t>
      </w:r>
      <w:r>
        <w:rPr>
          <w:rFonts w:hint="eastAsia" w:ascii="仿宋_GB2312" w:hAnsi="仿宋_GB2312" w:eastAsia="仿宋_GB2312" w:cs="仿宋_GB2312"/>
          <w:sz w:val="32"/>
          <w:szCs w:val="32"/>
          <w:shd w:val="clear" w:color="auto" w:fill="FFFFFF"/>
        </w:rPr>
        <w:t>起</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支付工伤保险待遇483万元。疫情期间，为我县中小微企业全部减免养老保险5475.36万元、失业保险250.62万元、工伤保险567.27万元；为大型企业、民办非企业单位等各类社会组织减半征收养老保险36.46万元、失业保险3.63万元、工伤保险1.75万元。</w:t>
      </w:r>
      <w:r>
        <w:rPr>
          <w:rFonts w:hint="eastAsia" w:ascii="仿宋_GB2312" w:hAnsi="仿宋_GB2312" w:eastAsia="仿宋_GB2312" w:cs="仿宋_GB2312"/>
          <w:sz w:val="32"/>
          <w:szCs w:val="32"/>
          <w:shd w:val="clear" w:color="auto" w:fill="FFFFFF"/>
        </w:rPr>
        <w:t>积极稳妥做好退休“中人”待遇兑现工作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核定第一批103人 ，发放待遇365万元。</w:t>
      </w:r>
    </w:p>
    <w:p>
      <w:pPr>
        <w:pStyle w:val="19"/>
        <w:keepNext w:val="0"/>
        <w:keepLines w:val="0"/>
        <w:widowControl/>
        <w:suppressLineNumbers w:val="0"/>
        <w:ind w:left="0" w:right="7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四是全力抓好人事人才。考核招聘急需紧缺专业技术人才46 人，面向社会公开考试招聘事业单位工作人员48人。专业技术人才总量达到2512人，高级、中级、初级专业技术人才比例为27:42:31。组织开展初级职称评审8场次，评审初级职称167人。</w:t>
      </w:r>
      <w:r>
        <w:rPr>
          <w:rFonts w:hint="eastAsia" w:ascii="仿宋_GB2312" w:hAnsi="仿宋_GB2312" w:eastAsia="仿宋_GB2312" w:cs="仿宋_GB2312"/>
          <w:sz w:val="32"/>
          <w:szCs w:val="32"/>
          <w:shd w:val="clear" w:color="auto" w:fill="FFFFFF"/>
        </w:rPr>
        <w:t>建立“定向评价、定向使用”职称制度，</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名专技人员获聘高级岗位。</w:t>
      </w:r>
      <w:r>
        <w:rPr>
          <w:rFonts w:hint="eastAsia" w:ascii="仿宋_GB2312" w:hAnsi="仿宋_GB2312" w:eastAsia="仿宋_GB2312" w:cs="仿宋_GB2312"/>
          <w:sz w:val="32"/>
          <w:szCs w:val="32"/>
          <w:shd w:val="clear" w:color="auto" w:fill="FFFFFF"/>
          <w:lang w:val="en-US" w:eastAsia="zh-CN"/>
        </w:rPr>
        <w:t>举办2期全县专业技术人才专题培训班，培训95</w:t>
      </w:r>
      <w:r>
        <w:rPr>
          <w:rFonts w:hint="eastAsia" w:ascii="仿宋_GB2312" w:hAnsi="仿宋_GB2312" w:eastAsia="仿宋_GB2312" w:cs="仿宋_GB2312"/>
          <w:sz w:val="32"/>
          <w:szCs w:val="32"/>
          <w:shd w:val="clear" w:color="auto" w:fill="FFFFFF"/>
        </w:rPr>
        <w:t>人</w:t>
      </w:r>
      <w:r>
        <w:rPr>
          <w:rFonts w:hint="eastAsia" w:ascii="仿宋_GB2312" w:hAnsi="仿宋_GB2312" w:eastAsia="仿宋_GB2312" w:cs="仿宋_GB2312"/>
          <w:sz w:val="32"/>
          <w:szCs w:val="32"/>
          <w:shd w:val="clear" w:color="auto" w:fill="FFFFFF"/>
          <w:lang w:eastAsia="zh-CN"/>
        </w:rPr>
        <w:t>。</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五是全力抓好劳动关系。企业劳动合同签订率达到95%以上，办理仲裁案件27件，</w:t>
      </w:r>
      <w:r>
        <w:rPr>
          <w:rFonts w:hint="eastAsia" w:ascii="仿宋_GB2312" w:hAnsi="仿宋_GB2312" w:eastAsia="仿宋_GB2312" w:cs="仿宋_GB2312"/>
          <w:sz w:val="32"/>
          <w:szCs w:val="32"/>
          <w:shd w:val="clear" w:color="auto" w:fill="FFFFFF"/>
        </w:rPr>
        <w:t>征收</w:t>
      </w:r>
      <w:r>
        <w:rPr>
          <w:rFonts w:hint="eastAsia" w:ascii="仿宋_GB2312" w:hAnsi="仿宋_GB2312" w:eastAsia="仿宋_GB2312" w:cs="仿宋_GB2312"/>
          <w:sz w:val="32"/>
          <w:szCs w:val="32"/>
          <w:shd w:val="clear" w:color="auto" w:fill="FFFFFF"/>
          <w:lang w:val="en-US" w:eastAsia="zh-CN"/>
        </w:rPr>
        <w:t>47</w:t>
      </w:r>
      <w:r>
        <w:rPr>
          <w:rFonts w:hint="eastAsia" w:ascii="仿宋_GB2312" w:hAnsi="仿宋_GB2312" w:eastAsia="仿宋_GB2312" w:cs="仿宋_GB2312"/>
          <w:sz w:val="32"/>
          <w:szCs w:val="32"/>
          <w:shd w:val="clear" w:color="auto" w:fill="FFFFFF"/>
        </w:rPr>
        <w:t>个在建工程民工工资保证金</w:t>
      </w:r>
      <w:r>
        <w:rPr>
          <w:rFonts w:hint="eastAsia" w:ascii="仿宋_GB2312" w:hAnsi="仿宋_GB2312" w:eastAsia="仿宋_GB2312" w:cs="仿宋_GB2312"/>
          <w:sz w:val="32"/>
          <w:szCs w:val="32"/>
          <w:shd w:val="clear" w:color="auto" w:fill="FFFFFF"/>
          <w:lang w:val="en-US" w:eastAsia="zh-CN"/>
        </w:rPr>
        <w:t>797</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开展根治欠薪专项行动，为69余名农民工追讨拖欠工资110余万元。积极推进漩口工业园区省级区域性集体协商试点工作，大力实施千户企业培育共同行动，促进企业健康平稳发展。</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六是全力抓好农民工工作。</w:t>
      </w:r>
      <w:r>
        <w:rPr>
          <w:rFonts w:hint="eastAsia" w:ascii="仿宋_GB2312" w:hAnsi="仿宋_GB2312" w:eastAsia="仿宋_GB2312" w:cs="仿宋_GB2312"/>
          <w:sz w:val="32"/>
          <w:szCs w:val="32"/>
          <w:shd w:val="clear" w:color="auto" w:fill="FFFFFF"/>
          <w:lang w:eastAsia="zh-CN"/>
        </w:rPr>
        <w:t>制定出台《农民工服务平台建设实施方案》，</w:t>
      </w:r>
      <w:r>
        <w:rPr>
          <w:rFonts w:hint="eastAsia" w:ascii="仿宋_GB2312" w:hAnsi="仿宋_GB2312" w:eastAsia="仿宋_GB2312" w:cs="仿宋_GB2312"/>
          <w:sz w:val="32"/>
          <w:szCs w:val="32"/>
          <w:shd w:val="clear" w:color="auto" w:fill="FFFFFF"/>
          <w:lang w:val="en-US" w:eastAsia="zh-CN"/>
        </w:rPr>
        <w:t>帮助50家企业入驻省级青年大学生和返乡农民工创新创业孵化园，带动就业745人，年营业收入将达2000余万元。组织实施“春风行动”，成立农民工返岗服务工作专班，采用“点</w:t>
      </w:r>
      <w:r>
        <w:rPr>
          <w:rFonts w:hint="eastAsia" w:ascii="仿宋_GB2312" w:hAnsi="仿宋_GB2312" w:eastAsia="仿宋_GB2312" w:cs="仿宋_GB2312"/>
          <w:sz w:val="32"/>
          <w:szCs w:val="32"/>
          <w:shd w:val="clear" w:color="auto" w:fill="FFFFFF"/>
        </w:rPr>
        <w:t>对点、一站式”直达运输服务，</w:t>
      </w:r>
      <w:r>
        <w:rPr>
          <w:rFonts w:hint="eastAsia" w:ascii="仿宋_GB2312" w:hAnsi="仿宋_GB2312" w:eastAsia="仿宋_GB2312" w:cs="仿宋_GB2312"/>
          <w:sz w:val="32"/>
          <w:szCs w:val="32"/>
          <w:shd w:val="clear" w:color="auto" w:fill="FFFFFF"/>
          <w:lang w:val="en-US" w:eastAsia="zh-CN"/>
        </w:rPr>
        <w:t>分7批次帮助103名外出务工人员实现返岗，其中建档立卡贫困劳动力17人。</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七是全力抓好“温暖人社”打造。县、镇平台标准化率达到100 %，社区平台标准化率达到100%，建成3个行政村标准化示范点。积极推进“社银”一体化平台建设，累计发放社会保障卡12万余张，实现异地就医结算，惠农惠民资金发放，养老保险待遇发放等功能。建立完善窗口单位工作人员激励评价机制，组织开展人社系统“窗口服务标兵”、“党员示范岗”等评选活动3次，评选先进30余人次。开展技能练兵比武活动，在全州综合比武晋级赛中获得团体二等奖。</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4"/>
        <w:rPr>
          <w:rStyle w:val="25"/>
          <w:b w:val="0"/>
          <w:bCs w:val="0"/>
        </w:rPr>
      </w:pPr>
      <w:bookmarkStart w:id="28" w:name="_Toc15396601"/>
      <w:bookmarkStart w:id="29" w:name="_Toc79163605"/>
      <w:bookmarkStart w:id="30" w:name="_Toc79163855"/>
      <w:bookmarkStart w:id="3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8"/>
      <w:bookmarkEnd w:id="29"/>
      <w:bookmarkEnd w:id="30"/>
      <w:bookmarkEnd w:id="31"/>
    </w:p>
    <w:p>
      <w:pPr>
        <w:widowControl/>
        <w:jc w:val="left"/>
        <w:rPr>
          <w:rFonts w:ascii="仿宋" w:hAnsi="仿宋" w:eastAsia="仿宋"/>
          <w:color w:val="000000"/>
          <w:kern w:val="0"/>
          <w:sz w:val="32"/>
          <w:szCs w:val="32"/>
        </w:rPr>
      </w:pPr>
      <w:r>
        <w:rPr>
          <w:rFonts w:hint="eastAsia" w:ascii="仿宋_GB2312" w:hAnsi="仿宋_GB2312" w:eastAsia="仿宋_GB2312" w:cs="仿宋_GB2312"/>
          <w:sz w:val="32"/>
          <w:szCs w:val="32"/>
          <w:shd w:val="clear" w:color="auto" w:fill="FFFFFF"/>
        </w:rPr>
        <w:t>本单位本年度纳入本套决算编制范围的独立编制机构数共1个，比上年增加0个，独立核算机构数共1个，比上年增加0个</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w:t>
      </w:r>
    </w:p>
    <w:p>
      <w:pPr>
        <w:pStyle w:val="3"/>
        <w:ind w:right="440"/>
        <w:jc w:val="right"/>
        <w:rPr>
          <w:rStyle w:val="24"/>
          <w:rFonts w:ascii="黑体" w:hAnsi="黑体" w:eastAsia="黑体"/>
          <w:b w:val="0"/>
          <w:bCs w:val="0"/>
        </w:rPr>
      </w:pPr>
      <w:bookmarkStart w:id="32" w:name="_Toc15396602"/>
      <w:bookmarkStart w:id="33" w:name="_Toc15377204"/>
      <w:bookmarkStart w:id="34" w:name="_Toc79163609"/>
      <w:bookmarkStart w:id="35" w:name="_Toc79163859"/>
      <w:r>
        <w:rPr>
          <w:rFonts w:hint="eastAsia" w:ascii="黑体" w:hAnsi="黑体" w:eastAsia="黑体"/>
          <w:b w:val="0"/>
          <w:color w:val="000000"/>
        </w:rPr>
        <w:t>第二部分</w:t>
      </w:r>
      <w:r>
        <w:rPr>
          <w:rFonts w:ascii="黑体" w:hAnsi="黑体" w:eastAsia="黑体"/>
          <w:color w:val="000000"/>
        </w:rPr>
        <w:t xml:space="preserve"> </w:t>
      </w:r>
      <w:r>
        <w:rPr>
          <w:rStyle w:val="24"/>
          <w:rFonts w:ascii="黑体" w:hAnsi="黑体" w:eastAsia="黑体"/>
          <w:b w:val="0"/>
          <w:bCs w:val="0"/>
        </w:rPr>
        <w:t>2020</w:t>
      </w:r>
      <w:r>
        <w:rPr>
          <w:rStyle w:val="24"/>
          <w:rFonts w:hint="eastAsia" w:ascii="黑体" w:hAnsi="黑体" w:eastAsia="黑体"/>
          <w:b w:val="0"/>
          <w:bCs w:val="0"/>
        </w:rPr>
        <w:t>年度部门决算情况说明</w:t>
      </w:r>
      <w:bookmarkEnd w:id="32"/>
      <w:bookmarkEnd w:id="33"/>
      <w:bookmarkEnd w:id="34"/>
      <w:bookmarkEnd w:id="35"/>
    </w:p>
    <w:p/>
    <w:p>
      <w:pPr>
        <w:pStyle w:val="35"/>
        <w:numPr>
          <w:ilvl w:val="0"/>
          <w:numId w:val="1"/>
        </w:numPr>
        <w:spacing w:line="600" w:lineRule="exact"/>
        <w:ind w:firstLineChars="0"/>
        <w:outlineLvl w:val="1"/>
        <w:rPr>
          <w:rStyle w:val="25"/>
          <w:rFonts w:ascii="黑体" w:hAnsi="黑体" w:eastAsia="黑体"/>
          <w:b w:val="0"/>
        </w:rPr>
      </w:pPr>
      <w:bookmarkStart w:id="36" w:name="_Toc79163610"/>
      <w:bookmarkStart w:id="37" w:name="_Toc15396603"/>
      <w:bookmarkStart w:id="38" w:name="_Toc79163860"/>
      <w:bookmarkStart w:id="3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6"/>
      <w:bookmarkEnd w:id="37"/>
      <w:bookmarkEnd w:id="38"/>
      <w:bookmarkEnd w:id="39"/>
    </w:p>
    <w:p>
      <w:pPr>
        <w:pStyle w:val="19"/>
        <w:keepNext w:val="0"/>
        <w:keepLines w:val="0"/>
        <w:widowControl/>
        <w:suppressLineNumbers w:val="0"/>
        <w:ind w:left="0" w:right="75" w:firstLine="640" w:firstLineChars="200"/>
        <w:rPr>
          <w:rStyle w:val="22"/>
          <w:rFonts w:hint="eastAsia" w:ascii="仿宋_GB2312" w:hAnsi="仿宋_GB2312" w:eastAsia="仿宋_GB2312" w:cs="仿宋_GB2312"/>
          <w:b w:val="0"/>
          <w:bCs/>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本单位本年度收入调整预算数为2,853.88万元，收入决算数为2,853.88万元，预算完成度为100.00%，上年度预算完成度为100.00%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本年度支出调整预算数为4,326.12万元，支出决算数为3,269.89万元，预算完成度为75.58%，上年度预算完成度为92.86%，</w:t>
      </w:r>
      <w:r>
        <w:rPr>
          <w:rStyle w:val="22"/>
          <w:rFonts w:hint="eastAsia" w:ascii="仿宋_GB2312" w:hAnsi="仿宋_GB2312" w:eastAsia="仿宋_GB2312" w:cs="仿宋_GB2312"/>
          <w:b w:val="0"/>
          <w:bCs/>
          <w:sz w:val="32"/>
          <w:szCs w:val="32"/>
          <w:shd w:val="clear" w:color="auto" w:fill="FFFFFF"/>
        </w:rPr>
        <w:t>存在差异的主要原因为</w:t>
      </w:r>
      <w:r>
        <w:rPr>
          <w:rStyle w:val="22"/>
          <w:rFonts w:hint="eastAsia" w:ascii="仿宋_GB2312" w:hAnsi="仿宋_GB2312" w:eastAsia="仿宋_GB2312" w:cs="仿宋_GB2312"/>
          <w:b w:val="0"/>
          <w:bCs/>
          <w:sz w:val="32"/>
          <w:szCs w:val="32"/>
          <w:shd w:val="clear" w:color="auto" w:fill="FFFFFF"/>
          <w:lang w:val="en-US" w:eastAsia="zh-CN"/>
        </w:rPr>
        <w:t>本年度在建工程较去年增加。</w:t>
      </w:r>
    </w:p>
    <w:p>
      <w:pPr>
        <w:spacing w:line="600" w:lineRule="exact"/>
        <w:ind w:firstLine="640" w:firstLineChars="200"/>
        <w:jc w:val="left"/>
        <w:rPr>
          <w:rFonts w:ascii="仿宋_GB2312" w:eastAsia="仿宋_GB2312"/>
          <w:color w:val="000000"/>
          <w:sz w:val="32"/>
          <w:szCs w:val="32"/>
        </w:rPr>
      </w:pPr>
    </w:p>
    <w:p>
      <w:pPr>
        <w:pStyle w:val="35"/>
        <w:numPr>
          <w:ilvl w:val="0"/>
          <w:numId w:val="1"/>
        </w:numPr>
        <w:spacing w:line="600" w:lineRule="exact"/>
        <w:ind w:firstLineChars="0"/>
        <w:outlineLvl w:val="1"/>
        <w:rPr>
          <w:rStyle w:val="25"/>
          <w:rFonts w:ascii="黑体" w:hAnsi="黑体" w:eastAsia="黑体"/>
          <w:b w:val="0"/>
        </w:rPr>
      </w:pPr>
      <w:bookmarkStart w:id="40" w:name="_Toc79163861"/>
      <w:bookmarkStart w:id="41" w:name="_Toc79163611"/>
      <w:bookmarkStart w:id="42" w:name="_Toc15377206"/>
      <w:bookmarkStart w:id="43"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40"/>
      <w:bookmarkEnd w:id="41"/>
      <w:bookmarkEnd w:id="42"/>
      <w:bookmarkEnd w:id="43"/>
    </w:p>
    <w:p>
      <w:pPr>
        <w:spacing w:line="600" w:lineRule="exact"/>
        <w:ind w:firstLine="640" w:firstLineChars="200"/>
        <w:rPr>
          <w:rFonts w:ascii="仿宋_GB2312" w:eastAsia="仿宋_GB2312"/>
          <w:color w:val="FF0000"/>
          <w:sz w:val="32"/>
          <w:szCs w:val="32"/>
        </w:rPr>
      </w:pPr>
      <w:r>
        <w:rPr>
          <w:rFonts w:hint="eastAsia" w:ascii="仿宋_GB2312" w:hAnsi="仿宋_GB2312" w:eastAsia="仿宋_GB2312" w:cs="仿宋_GB2312"/>
          <w:sz w:val="32"/>
          <w:szCs w:val="32"/>
          <w:shd w:val="clear" w:color="auto" w:fill="FFFFFF"/>
        </w:rPr>
        <w:t>本单位本年度财政拨款收入为2,853.88万元，财政拨款支出为3,269.89万元，其中：基本支出中人员经费支出为328.08万元，公用经费支出为86.08万元。项目支出中基本建设类项目支出为0.00万元</w:t>
      </w:r>
      <w:r>
        <w:rPr>
          <w:rFonts w:hint="eastAsia" w:ascii="仿宋_GB2312" w:hAnsi="仿宋_GB2312" w:eastAsia="仿宋_GB2312" w:cs="仿宋_GB2312"/>
          <w:sz w:val="32"/>
          <w:szCs w:val="32"/>
          <w:shd w:val="clear" w:color="auto" w:fill="FFFFFF"/>
          <w:lang w:eastAsia="zh-CN"/>
        </w:rPr>
        <w:t>。</w:t>
      </w:r>
    </w:p>
    <w:p>
      <w:pPr>
        <w:spacing w:line="600" w:lineRule="exact"/>
        <w:ind w:firstLine="640" w:firstLineChars="200"/>
        <w:rPr>
          <w:rFonts w:ascii="仿宋_GB2312" w:eastAsia="仿宋_GB2312"/>
          <w:color w:val="FF0000"/>
          <w:sz w:val="32"/>
          <w:szCs w:val="32"/>
        </w:rPr>
      </w:pPr>
    </w:p>
    <w:p>
      <w:pPr>
        <w:pStyle w:val="35"/>
        <w:numPr>
          <w:ilvl w:val="0"/>
          <w:numId w:val="1"/>
        </w:numPr>
        <w:spacing w:line="600" w:lineRule="exact"/>
        <w:ind w:firstLineChars="0"/>
        <w:outlineLvl w:val="1"/>
        <w:rPr>
          <w:rStyle w:val="25"/>
          <w:rFonts w:ascii="黑体" w:hAnsi="黑体" w:eastAsia="黑体"/>
          <w:b w:val="0"/>
        </w:rPr>
      </w:pPr>
      <w:bookmarkStart w:id="44" w:name="_Toc79163862"/>
      <w:bookmarkStart w:id="45" w:name="_Toc79163612"/>
      <w:bookmarkStart w:id="46" w:name="_Toc15377207"/>
      <w:bookmarkStart w:id="47"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44"/>
      <w:bookmarkEnd w:id="45"/>
      <w:bookmarkEnd w:id="46"/>
      <w:bookmarkEnd w:id="47"/>
    </w:p>
    <w:p>
      <w:pPr>
        <w:pStyle w:val="19"/>
        <w:keepNext w:val="0"/>
        <w:keepLines w:val="0"/>
        <w:widowControl/>
        <w:suppressLineNumbers w:val="0"/>
        <w:ind w:left="0" w:right="75" w:firstLine="640" w:firstLineChars="200"/>
        <w:rPr>
          <w:rFonts w:ascii="仿宋_GB2312" w:eastAsia="仿宋_GB2312"/>
          <w:color w:val="FF0000"/>
          <w:sz w:val="32"/>
          <w:szCs w:val="32"/>
        </w:rPr>
      </w:pPr>
      <w:r>
        <w:rPr>
          <w:rFonts w:hint="eastAsia" w:ascii="仿宋_GB2312" w:hAnsi="仿宋_GB2312" w:eastAsia="仿宋_GB2312" w:cs="仿宋_GB2312"/>
          <w:sz w:val="32"/>
          <w:szCs w:val="32"/>
          <w:shd w:val="clear" w:color="auto" w:fill="FFFFFF"/>
          <w:lang w:val="en-US" w:eastAsia="zh-CN"/>
        </w:rPr>
        <w:t>一般公共预算财政拨款基本支出414.16万元，一般公共预算财政拨款项目支出2855万元。</w:t>
      </w:r>
    </w:p>
    <w:p>
      <w:pPr>
        <w:spacing w:line="600" w:lineRule="exact"/>
        <w:ind w:firstLine="640" w:firstLineChars="200"/>
        <w:outlineLvl w:val="1"/>
        <w:rPr>
          <w:rStyle w:val="25"/>
          <w:rFonts w:ascii="黑体" w:hAnsi="黑体" w:eastAsia="黑体"/>
          <w:b w:val="0"/>
        </w:rPr>
      </w:pPr>
      <w:bookmarkStart w:id="48" w:name="_Toc79163863"/>
      <w:bookmarkStart w:id="49" w:name="_Toc79163613"/>
      <w:bookmarkStart w:id="50" w:name="_Toc15377208"/>
      <w:bookmarkStart w:id="5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8"/>
      <w:bookmarkEnd w:id="49"/>
      <w:bookmarkEnd w:id="50"/>
      <w:bookmarkEnd w:id="51"/>
    </w:p>
    <w:p>
      <w:pPr>
        <w:pStyle w:val="19"/>
        <w:keepNext w:val="0"/>
        <w:keepLines w:val="0"/>
        <w:widowControl/>
        <w:suppressLineNumbers w:val="0"/>
        <w:ind w:right="7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 本单位本年度总收入为2,853.88万元。其中：一般公共预算财政拨款收入为2,853.16万元，占比99.97%；政府性基金预算财政拨款收入为0.72万元，占比0.03%；国有资本经营预算财政拨款收入为0.00)万元，占比0.00%；上级补助收入为0.00万元，占比0.00%；事业收入为0.00万元，占比0.00%；经营收入为0.00万元，占比0.00%；附属单位上缴收入为0.00万元，占比0.00%；其他收入为0.00万元，占比0.00%。本年度总支出为3,269.89万元。其中：一般公共服务支出为507.27万元，占比15.51%；外交支出为0.00万元，占比0.00%；国防支出为0.00万元，占比0.00%；公共安全支出为0.00万元，占比0.00%；教育支出为0.00万元，占比0.00%；科学技术支出为0.00万元，占比0.00%；文化旅游体育与传媒支出为911.89万元，占比27.89%；社会保障和就业支出为1,799.61万元，占比55.04%；卫生健康支出为16.54万元，占比0.51%；节能环保支出为0.00万元，占比0.00%；城乡社区支出为0.00万元，占比0.00%；农林水支出为11.43万元，占比0.35%；交通运输支出为0.00万元，占比0.00%；资源勘探工业信息等支出为0.00万元，占比0.00%；商业服务业等支出为0.00万元，占比0.00%；金融支出为0.00万元，占比0.00%；援助其他地区支出为0.00万元，占比0.00%；自然资源海洋气象等支出为0.00万元，占比0.00%；住房保障支出为22.41万元，占比0.69%；粮油物资储备支出为0.00万元，占比0.00%；国有资本经营预算支出为0.00万元，占比0.00%；灾害防治及应急管理支出为0.00万元，占比0.00%；其他支出为0.00万元，占比0.00%；债务还本支出为0.00万元，占比0.00%；债务付息支出为0.00万元，占比0.00%；抗疫特别国债安排的支出为0.72万元，占比0.02%。</w:t>
      </w:r>
    </w:p>
    <w:p>
      <w:pPr>
        <w:spacing w:line="600" w:lineRule="exact"/>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52" w:name="_Toc79163614"/>
      <w:bookmarkStart w:id="53" w:name="_Toc79163864"/>
      <w:bookmarkStart w:id="54" w:name="_Toc15396607"/>
      <w:bookmarkStart w:id="5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color w:val="000000"/>
          <w:sz w:val="32"/>
          <w:szCs w:val="32"/>
        </w:rPr>
      </w:pPr>
      <w:bookmarkStart w:id="56" w:name="_Toc79163865"/>
      <w:bookmarkStart w:id="57" w:name="_Toc15377210"/>
      <w:bookmarkStart w:id="58" w:name="_Toc79163615"/>
      <w:r>
        <w:rPr>
          <w:rFonts w:hint="eastAsia" w:ascii="仿宋" w:hAnsi="仿宋" w:eastAsia="仿宋"/>
          <w:b/>
          <w:color w:val="000000"/>
          <w:sz w:val="32"/>
          <w:szCs w:val="32"/>
        </w:rPr>
        <w:t>（一）一般公共预算财政拨款支出决算总体情况</w:t>
      </w:r>
      <w:bookmarkEnd w:id="56"/>
      <w:bookmarkEnd w:id="57"/>
      <w:bookmarkEnd w:id="58"/>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rPr>
        <w:t>本单位本年度财政拨款收入为2,853.88万元，财政拨款支出为3,269.89万元，其中：基本支出中人员经费支出为328.08万元，公用经费支出为86.08万元。项目支出中基本建设类项目支出为0.00万元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一般公共预算财政拨款基本支出414.16万元，一般公共预算财政拨款项目支出2855万元。</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9" w:name="_Toc79163866"/>
      <w:bookmarkStart w:id="60" w:name="_Toc79163616"/>
      <w:bookmarkStart w:id="61" w:name="_Toc15377211"/>
      <w:r>
        <w:rPr>
          <w:rFonts w:hint="eastAsia" w:ascii="仿宋" w:hAnsi="仿宋" w:eastAsia="仿宋"/>
          <w:b/>
          <w:color w:val="000000"/>
          <w:sz w:val="32"/>
          <w:szCs w:val="32"/>
        </w:rPr>
        <w:t>（二）一般公共预算财政拨款支出决算结构情况</w:t>
      </w:r>
      <w:bookmarkEnd w:id="59"/>
      <w:bookmarkEnd w:id="60"/>
      <w:bookmarkEnd w:id="61"/>
    </w:p>
    <w:p>
      <w:pPr>
        <w:spacing w:line="600" w:lineRule="exact"/>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shd w:val="clear" w:color="auto" w:fill="FFFFFF"/>
        </w:rPr>
        <w:t>本年度总支出为3,269.89万元。其中：一般公共服务支出为507.27万元，占比15.51%；外交支出为0.00万元，占比0.00%；国防支出为0.00万元，占比0.00%；公共安全支出为0.00万元，占比0.00%；教育支出为0.00万元，占比0.00%；科学技术支出为0.00万元，占比0.00%；文化旅游体育与传媒支出为911.89万元，占比27.89%；社会保障和就业支出为1,799.61万元，占比55.04%；卫生健康支出为16.54万元，占比0.51%；节能环保支出为0.00万元，占比0.00%；城乡社区支出为0.00万元，占比0.00%；农林水支出为11.43万元，占比0.35%；交通运输支出为0.00万元，占比0.00%；资源勘探工业信息等支出为0.00万元，占比0.00%；商业服务业等支出为0.00万元，占比0.00%；金融支出为0.00万元，占比0.00%；援助其他地区支出为0.00万元，占比0.00%；自然资源海洋气象等支出为0.00万元，占比0.00%；住房保障支出为22.41万元，占比0.69%；粮油物资储备支出为0.00万元，占比0.00%；国有资本经营预算支出为0.00万元，占比0.00%；灾害防治及应急管理支出为0.00万元，占比0.00%；其他支出为0.00万元，占比0.00%；债务还本支出为0.00万元，占比0.00%；债务付息支出为0.00万元，占比0.00%；抗疫特别国债安排的支出为0.72万元，占比0.02%。</w:t>
      </w:r>
    </w:p>
    <w:p>
      <w:pPr>
        <w:spacing w:line="600" w:lineRule="exact"/>
        <w:ind w:firstLine="643" w:firstLineChars="200"/>
        <w:outlineLvl w:val="2"/>
        <w:rPr>
          <w:rFonts w:ascii="仿宋" w:hAnsi="仿宋" w:eastAsia="仿宋"/>
          <w:b/>
          <w:color w:val="000000"/>
          <w:sz w:val="32"/>
          <w:szCs w:val="32"/>
        </w:rPr>
      </w:pPr>
      <w:bookmarkStart w:id="62" w:name="_Toc79163867"/>
      <w:bookmarkStart w:id="63" w:name="_Toc79163617"/>
      <w:bookmarkStart w:id="64" w:name="_Toc15377212"/>
      <w:r>
        <w:rPr>
          <w:rFonts w:hint="eastAsia" w:ascii="仿宋" w:hAnsi="仿宋" w:eastAsia="仿宋"/>
          <w:b/>
          <w:color w:val="000000"/>
          <w:sz w:val="32"/>
          <w:szCs w:val="32"/>
        </w:rPr>
        <w:t>（三）一般公共预算财政拨款支出决算具体情况</w:t>
      </w:r>
      <w:bookmarkEnd w:id="62"/>
      <w:bookmarkEnd w:id="63"/>
      <w:bookmarkEnd w:id="64"/>
    </w:p>
    <w:p>
      <w:pPr>
        <w:spacing w:line="600" w:lineRule="exact"/>
        <w:ind w:firstLine="640"/>
        <w:rPr>
          <w:rFonts w:ascii="仿宋" w:hAnsi="仿宋" w:eastAsia="仿宋"/>
          <w:b/>
          <w:color w:val="000000"/>
          <w:sz w:val="32"/>
          <w:szCs w:val="32"/>
        </w:rPr>
      </w:pPr>
      <w:r>
        <w:rPr>
          <w:rFonts w:hint="eastAsia" w:ascii="仿宋_GB2312" w:hAnsi="仿宋_GB2312" w:eastAsia="仿宋_GB2312" w:cs="仿宋_GB2312"/>
          <w:sz w:val="32"/>
          <w:szCs w:val="32"/>
          <w:shd w:val="clear" w:color="auto" w:fill="FFFFFF"/>
        </w:rPr>
        <w:t>本年度总支出为3,269.89万元。其中：一般公共服务支出为507.27万元，占比15.51%；外交支出为0.00万元，占比0.00%；国防支出为0.00万元，占比0.00%；公共安全支出为0.00万元，占比0.00%；教育支出为0.00万元，占比0.00%；科学技术支出为0.00万元，占比0.00%；文化旅游体育与传媒支出为911.89万元，占比27.89%；社会保障和就业支出为1,799.61万元，占比55.04%；卫生健康支出为16.54万元，占比0.51%；节能环保支出为0.00万元，占比0.00%；城乡社区支出为0.00万元，占比0.00%；农林水支出为11.43万元，占比0.35%；交通运输支出为0.00万元，占比0.00%；资源勘探工业信息等支出为0.00万元，占比0.00%；商业服务业等支出为0.00万元，占比0.00%；金融支出为0.00万元，占比0.00%；援助其他地区支出为0.00万元，占比0.00%；自然资源海洋气象等支出为0.00万元，占比0.00%；住房保障支出为22.41万元，占比0.69%；粮油物资储备支出为0.00万元，占比0.00%；国有资本经营预算支出为0.00万元，占比0.00%；灾害防治及应急管理支出为0.00万元，占比0.00%；其他支出为0.00万元，占比0.00%；债务还本支出为0.00万元，占比0.00%；债务付息支出为0.00万元，占比0.00%；抗疫特别国债安排的支出为0.72万元，占比0.02%。</w:t>
      </w:r>
    </w:p>
    <w:p>
      <w:pPr>
        <w:tabs>
          <w:tab w:val="right" w:pos="8306"/>
        </w:tabs>
        <w:spacing w:line="600" w:lineRule="exact"/>
        <w:ind w:firstLine="640"/>
        <w:outlineLvl w:val="1"/>
        <w:rPr>
          <w:rStyle w:val="25"/>
        </w:rPr>
      </w:pPr>
      <w:bookmarkStart w:id="65" w:name="_Toc15396608"/>
      <w:bookmarkStart w:id="66" w:name="_Toc15377214"/>
      <w:bookmarkStart w:id="67" w:name="_Toc79163618"/>
      <w:bookmarkStart w:id="68" w:name="_Toc7916386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65"/>
      <w:bookmarkEnd w:id="66"/>
      <w:bookmarkEnd w:id="67"/>
      <w:bookmarkEnd w:id="68"/>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414.16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328.08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86.08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69" w:name="_Toc15396609"/>
      <w:bookmarkStart w:id="70" w:name="_Toc15377215"/>
      <w:bookmarkStart w:id="71" w:name="_Toc79163619"/>
      <w:bookmarkStart w:id="72" w:name="_Toc7916386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69"/>
      <w:bookmarkEnd w:id="70"/>
      <w:bookmarkEnd w:id="71"/>
      <w:bookmarkEnd w:id="72"/>
    </w:p>
    <w:p>
      <w:pPr>
        <w:pStyle w:val="19"/>
        <w:keepNext w:val="0"/>
        <w:keepLines w:val="0"/>
        <w:widowControl/>
        <w:suppressLineNumbers w:val="0"/>
        <w:ind w:right="75" w:firstLine="640" w:firstLineChars="200"/>
        <w:rPr>
          <w:rFonts w:hint="eastAsia" w:ascii="仿宋_GB2312" w:hAnsi="仿宋_GB2312" w:eastAsia="仿宋_GB2312" w:cs="仿宋_GB2312"/>
          <w:sz w:val="32"/>
          <w:szCs w:val="32"/>
          <w:shd w:val="clear" w:color="auto" w:fill="FFFFFF"/>
        </w:rPr>
      </w:pPr>
      <w:bookmarkStart w:id="73" w:name="_Toc15396610"/>
      <w:bookmarkStart w:id="74" w:name="_Toc15377218"/>
      <w:bookmarkStart w:id="75" w:name="_Toc79163622"/>
      <w:bookmarkStart w:id="76" w:name="_Toc79163872"/>
      <w:r>
        <w:rPr>
          <w:rFonts w:hint="eastAsia" w:ascii="仿宋_GB2312" w:hAnsi="仿宋_GB2312" w:eastAsia="仿宋_GB2312" w:cs="仿宋_GB2312"/>
          <w:sz w:val="32"/>
          <w:szCs w:val="32"/>
          <w:shd w:val="clear" w:color="auto" w:fill="FFFFFF"/>
        </w:rPr>
        <w:t>（1）“三公”经费支出情况：本单位本年度“三公”经费支出决算数为12.08万元。其中:因公出国（境）费支出决算数为0.00万元，相比上年度减少0.00万元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公务用车购置及运行维护费少</w:t>
      </w:r>
      <w:r>
        <w:rPr>
          <w:rFonts w:hint="eastAsia" w:ascii="仿宋_GB2312" w:hAnsi="仿宋_GB2312" w:eastAsia="仿宋_GB2312" w:cs="仿宋_GB2312"/>
          <w:sz w:val="32"/>
          <w:szCs w:val="32"/>
          <w:shd w:val="clear" w:color="auto" w:fill="FFFFFF"/>
          <w:lang w:val="en-US" w:eastAsia="zh-CN"/>
        </w:rPr>
        <w:t>0.009</w:t>
      </w:r>
      <w:r>
        <w:rPr>
          <w:rFonts w:hint="eastAsia" w:ascii="仿宋_GB2312" w:hAnsi="仿宋_GB2312" w:eastAsia="仿宋_GB2312" w:cs="仿宋_GB2312"/>
          <w:sz w:val="32"/>
          <w:szCs w:val="32"/>
          <w:shd w:val="clear" w:color="auto" w:fill="FFFFFF"/>
        </w:rPr>
        <w:t>万元，主要原因为：</w:t>
      </w:r>
      <w:r>
        <w:rPr>
          <w:rFonts w:hint="eastAsia" w:ascii="仿宋_GB2312" w:hAnsi="仿宋_GB2312" w:eastAsia="仿宋_GB2312" w:cs="仿宋_GB2312"/>
          <w:sz w:val="32"/>
          <w:szCs w:val="32"/>
          <w:shd w:val="clear" w:color="auto" w:fill="FFFFFF"/>
          <w:lang w:val="en-US" w:eastAsia="zh-CN"/>
        </w:rPr>
        <w:t>公务用车使用较去年减少，</w:t>
      </w:r>
      <w:r>
        <w:rPr>
          <w:rFonts w:hint="eastAsia" w:ascii="仿宋_GB2312" w:hAnsi="仿宋_GB2312" w:eastAsia="仿宋_GB2312" w:cs="仿宋_GB2312"/>
          <w:sz w:val="32"/>
          <w:szCs w:val="32"/>
          <w:shd w:val="clear" w:color="auto" w:fill="FFFFFF"/>
        </w:rPr>
        <w:t>公务接待费少</w:t>
      </w:r>
      <w:r>
        <w:rPr>
          <w:rFonts w:hint="eastAsia" w:ascii="仿宋_GB2312" w:hAnsi="仿宋_GB2312" w:eastAsia="仿宋_GB2312" w:cs="仿宋_GB2312"/>
          <w:sz w:val="32"/>
          <w:szCs w:val="32"/>
          <w:shd w:val="clear" w:color="auto" w:fill="FFFFFF"/>
          <w:lang w:val="en-US" w:eastAsia="zh-CN"/>
        </w:rPr>
        <w:t>0.0003</w:t>
      </w:r>
      <w:r>
        <w:rPr>
          <w:rFonts w:hint="eastAsia" w:ascii="仿宋_GB2312" w:hAnsi="仿宋_GB2312" w:eastAsia="仿宋_GB2312" w:cs="仿宋_GB2312"/>
          <w:sz w:val="32"/>
          <w:szCs w:val="32"/>
          <w:shd w:val="clear" w:color="auto" w:fill="FFFFFF"/>
        </w:rPr>
        <w:t>万元，主要原因为:</w:t>
      </w:r>
      <w:r>
        <w:rPr>
          <w:rFonts w:hint="eastAsia" w:ascii="仿宋_GB2312" w:hAnsi="仿宋_GB2312" w:eastAsia="仿宋_GB2312" w:cs="仿宋_GB2312"/>
          <w:sz w:val="32"/>
          <w:szCs w:val="32"/>
          <w:shd w:val="clear" w:color="auto" w:fill="FFFFFF"/>
          <w:lang w:val="en-US" w:eastAsia="zh-CN"/>
        </w:rPr>
        <w:t>公务接待较去年略有减少</w:t>
      </w:r>
      <w:r>
        <w:rPr>
          <w:rFonts w:hint="eastAsia" w:ascii="仿宋_GB2312" w:hAnsi="仿宋_GB2312" w:eastAsia="仿宋_GB2312" w:cs="仿宋_GB2312"/>
          <w:sz w:val="32"/>
          <w:szCs w:val="32"/>
          <w:shd w:val="clear" w:color="auto" w:fill="FFFFFF"/>
        </w:rPr>
        <w:t>。本年度“三公”经费支出预算数为12.08万元，决算数为12.08万元，预算完成度为100.00%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本年度因公出国（境）费人均支出为0.00万元，公务用车购置及运行维护费人均支出为0.61万元，公务接待费人均支出为0.15万元。</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（2）会议费支出情况：本单位本年度会议费支出决算数为0.51万元，相比上年度减少</w:t>
      </w:r>
      <w:r>
        <w:rPr>
          <w:rFonts w:hint="eastAsia" w:ascii="仿宋_GB2312" w:hAnsi="仿宋_GB2312" w:eastAsia="仿宋_GB2312" w:cs="仿宋_GB2312"/>
          <w:sz w:val="32"/>
          <w:szCs w:val="32"/>
          <w:shd w:val="clear" w:color="auto" w:fill="FFFFFF"/>
          <w:lang w:val="en-US" w:eastAsia="zh-CN"/>
        </w:rPr>
        <w:t>0.35</w:t>
      </w:r>
      <w:r>
        <w:rPr>
          <w:rFonts w:hint="eastAsia" w:ascii="仿宋_GB2312" w:hAnsi="仿宋_GB2312" w:eastAsia="仿宋_GB2312" w:cs="仿宋_GB2312"/>
          <w:sz w:val="32"/>
          <w:szCs w:val="32"/>
          <w:shd w:val="clear" w:color="auto" w:fill="FFFFFF"/>
        </w:rPr>
        <w:t>万元，主要原因为</w:t>
      </w:r>
      <w:r>
        <w:rPr>
          <w:rFonts w:hint="eastAsia" w:ascii="仿宋_GB2312" w:hAnsi="仿宋_GB2312" w:eastAsia="仿宋_GB2312" w:cs="仿宋_GB2312"/>
          <w:sz w:val="32"/>
          <w:szCs w:val="32"/>
          <w:shd w:val="clear" w:color="auto" w:fill="FFFFFF"/>
          <w:lang w:val="en-US" w:eastAsia="zh-CN"/>
        </w:rPr>
        <w:t>本年会议减少</w:t>
      </w:r>
      <w:r>
        <w:rPr>
          <w:rFonts w:hint="eastAsia" w:ascii="仿宋_GB2312" w:hAnsi="仿宋_GB2312" w:eastAsia="仿宋_GB2312" w:cs="仿宋_GB2312"/>
          <w:sz w:val="32"/>
          <w:szCs w:val="32"/>
          <w:shd w:val="clear" w:color="auto" w:fill="FFFFFF"/>
        </w:rPr>
        <w:t>；会议费人均支出为0.03万元。</w:t>
      </w:r>
    </w:p>
    <w:p>
      <w:pPr>
        <w:pStyle w:val="19"/>
        <w:keepNext w:val="0"/>
        <w:keepLines w:val="0"/>
        <w:widowControl/>
        <w:suppressLineNumbers w:val="0"/>
        <w:ind w:left="0" w:right="75"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rPr>
        <w:t>（3）培训费支出情况：本单位本年度培训费支出决算数为23.14万元，相比上年度</w:t>
      </w:r>
      <w:r>
        <w:rPr>
          <w:rFonts w:hint="eastAsia" w:ascii="仿宋_GB2312" w:hAnsi="仿宋_GB2312" w:eastAsia="仿宋_GB2312" w:cs="仿宋_GB2312"/>
          <w:sz w:val="32"/>
          <w:szCs w:val="32"/>
          <w:shd w:val="clear" w:color="auto" w:fill="FFFFFF"/>
          <w:lang w:val="en-US" w:eastAsia="zh-CN"/>
        </w:rPr>
        <w:t>增加22.34</w:t>
      </w:r>
      <w:r>
        <w:rPr>
          <w:rFonts w:hint="eastAsia" w:ascii="仿宋_GB2312" w:hAnsi="仿宋_GB2312" w:eastAsia="仿宋_GB2312" w:cs="仿宋_GB2312"/>
          <w:sz w:val="32"/>
          <w:szCs w:val="32"/>
          <w:shd w:val="clear" w:color="auto" w:fill="FFFFFF"/>
        </w:rPr>
        <w:t>万元，主要原因为本年度开展致富带头人培训</w:t>
      </w:r>
      <w:r>
        <w:rPr>
          <w:rFonts w:hint="eastAsia" w:ascii="仿宋_GB2312" w:hAnsi="仿宋_GB2312" w:eastAsia="仿宋_GB2312" w:cs="仿宋_GB2312"/>
          <w:sz w:val="32"/>
          <w:szCs w:val="32"/>
          <w:shd w:val="clear" w:color="auto" w:fill="FFFFFF"/>
          <w:lang w:eastAsia="zh-CN"/>
        </w:rPr>
        <w:t>。</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73"/>
      <w:bookmarkEnd w:id="74"/>
      <w:bookmarkEnd w:id="75"/>
      <w:bookmarkEnd w:id="7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0.72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，主要为抗疫特别支出，用于疫情期间值班人员值班费</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77" w:name="_Toc15377219"/>
      <w:bookmarkStart w:id="78" w:name="_Toc15396611"/>
      <w:bookmarkStart w:id="79" w:name="_Toc79163623"/>
      <w:bookmarkStart w:id="80" w:name="_Toc79163873"/>
      <w:r>
        <w:rPr>
          <w:rStyle w:val="25"/>
          <w:rFonts w:hint="eastAsia" w:ascii="黑体" w:hAnsi="黑体" w:eastAsia="黑体"/>
          <w:b w:val="0"/>
        </w:rPr>
        <w:t>国有资本经营预算支出决算情况说明</w:t>
      </w:r>
      <w:bookmarkEnd w:id="77"/>
      <w:bookmarkEnd w:id="78"/>
      <w:bookmarkEnd w:id="79"/>
      <w:bookmarkEnd w:id="8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81" w:name="_Toc15396612"/>
      <w:bookmarkStart w:id="82" w:name="_Toc15377221"/>
      <w:bookmarkStart w:id="83" w:name="_Toc79163624"/>
      <w:bookmarkStart w:id="84" w:name="_Toc79163874"/>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81"/>
      <w:bookmarkEnd w:id="82"/>
      <w:bookmarkEnd w:id="83"/>
      <w:bookmarkEnd w:id="84"/>
    </w:p>
    <w:p>
      <w:pPr>
        <w:spacing w:line="600" w:lineRule="exact"/>
        <w:ind w:firstLine="643" w:firstLineChars="200"/>
        <w:outlineLvl w:val="2"/>
        <w:rPr>
          <w:rFonts w:ascii="仿宋" w:hAnsi="仿宋" w:eastAsia="仿宋"/>
          <w:color w:val="000000"/>
          <w:sz w:val="32"/>
          <w:szCs w:val="32"/>
        </w:rPr>
      </w:pPr>
      <w:bookmarkStart w:id="85" w:name="_Toc15377222"/>
      <w:bookmarkStart w:id="86" w:name="_Toc79163625"/>
      <w:bookmarkStart w:id="87" w:name="_Toc79163875"/>
      <w:r>
        <w:rPr>
          <w:rFonts w:hint="eastAsia" w:ascii="仿宋" w:hAnsi="仿宋" w:eastAsia="仿宋"/>
          <w:b/>
          <w:color w:val="000000"/>
          <w:sz w:val="32"/>
          <w:szCs w:val="32"/>
        </w:rPr>
        <w:t>（一）机关运行经费支出情况</w:t>
      </w:r>
      <w:bookmarkEnd w:id="85"/>
      <w:bookmarkEnd w:id="86"/>
      <w:bookmarkEnd w:id="87"/>
    </w:p>
    <w:p>
      <w:pPr>
        <w:pStyle w:val="19"/>
        <w:keepNext w:val="0"/>
        <w:keepLines w:val="0"/>
        <w:widowControl/>
        <w:numPr>
          <w:numId w:val="0"/>
        </w:numPr>
        <w:suppressLineNumbers w:val="0"/>
        <w:ind w:right="75" w:rightChars="0" w:firstLine="640" w:firstLineChars="200"/>
        <w:rPr>
          <w:rFonts w:hint="default" w:ascii="仿宋_GB2312" w:hAnsi="Times New Roman" w:eastAsia="仿宋_GB2312" w:cs="Times New Roman"/>
          <w:color w:val="000000"/>
          <w:kern w:val="2"/>
          <w:sz w:val="32"/>
          <w:szCs w:val="32"/>
          <w:lang w:val="en-US" w:eastAsia="zh-CN" w:bidi="ar-SA"/>
        </w:rPr>
      </w:pPr>
      <w:bookmarkStart w:id="88" w:name="_Toc15377224"/>
      <w:bookmarkStart w:id="89" w:name="_Toc79163627"/>
      <w:bookmarkStart w:id="90" w:name="_Toc79163877"/>
      <w:bookmarkStart w:id="142" w:name="_GoBack"/>
      <w:bookmarkEnd w:id="142"/>
      <w:r>
        <w:rPr>
          <w:rFonts w:hint="default" w:ascii="仿宋_GB2312" w:hAnsi="Times New Roman" w:eastAsia="仿宋_GB2312" w:cs="Times New Roman"/>
          <w:color w:val="000000"/>
          <w:kern w:val="2"/>
          <w:sz w:val="32"/>
          <w:szCs w:val="32"/>
          <w:lang w:val="en-US" w:eastAsia="zh-CN" w:bidi="ar-SA"/>
        </w:rPr>
        <w:t>本单位本年度机构运行经费为86.08万元，上年度为59.36万元，差异为26.72万元，主要原因为：本年度我局公务用车维修及办公大楼维修维护使用经费</w:t>
      </w:r>
      <w:r>
        <w:rPr>
          <w:rFonts w:hint="eastAsia" w:ascii="仿宋_GB2312" w:hAnsi="Times New Roman" w:eastAsia="仿宋_GB2312" w:cs="Times New Roman"/>
          <w:color w:val="000000"/>
          <w:kern w:val="2"/>
          <w:sz w:val="32"/>
          <w:szCs w:val="32"/>
          <w:lang w:val="en-US" w:eastAsia="zh-CN" w:bidi="ar-SA"/>
        </w:rPr>
        <w:t>较去年增多。</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）国有资产占有使用情况</w:t>
      </w:r>
      <w:bookmarkEnd w:id="88"/>
      <w:bookmarkEnd w:id="89"/>
      <w:bookmarkEnd w:id="9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1" w:name="_Toc79163878"/>
      <w:bookmarkStart w:id="92" w:name="_Toc79163628"/>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）预算绩效管理情况。</w:t>
      </w:r>
      <w:bookmarkEnd w:id="91"/>
      <w:bookmarkEnd w:id="92"/>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643" w:firstLineChars="200"/>
        <w:textAlignment w:val="auto"/>
        <w:rPr>
          <w:rStyle w:val="22"/>
          <w:rFonts w:hint="eastAsia" w:ascii="仿宋_GB2312" w:hAnsi="仿宋_GB2312" w:eastAsia="仿宋_GB2312" w:cs="仿宋_GB2312"/>
          <w:sz w:val="32"/>
          <w:szCs w:val="32"/>
          <w:shd w:val="clear" w:color="auto" w:fill="FFFFFF"/>
        </w:rPr>
      </w:pPr>
      <w:bookmarkStart w:id="93" w:name="_Toc15377225"/>
      <w:bookmarkStart w:id="94" w:name="_Toc15396613"/>
      <w:bookmarkStart w:id="95" w:name="_Toc79163879"/>
      <w:bookmarkStart w:id="96" w:name="_Toc79163629"/>
      <w:r>
        <w:rPr>
          <w:rStyle w:val="22"/>
          <w:rFonts w:hint="eastAsia" w:ascii="仿宋_GB2312" w:hAnsi="仿宋_GB2312" w:eastAsia="仿宋_GB2312" w:cs="仿宋_GB2312"/>
          <w:sz w:val="32"/>
          <w:szCs w:val="32"/>
          <w:shd w:val="clear" w:color="auto" w:fill="FFFFFF"/>
          <w:lang w:val="en-US" w:eastAsia="zh-CN"/>
        </w:rPr>
        <w:t>1、项目概况</w:t>
      </w:r>
    </w:p>
    <w:p>
      <w:pPr>
        <w:pStyle w:val="19"/>
        <w:keepNext w:val="0"/>
        <w:keepLines w:val="0"/>
        <w:pageBreakBefore w:val="0"/>
        <w:widowControl/>
        <w:suppressLineNumbers w:val="0"/>
        <w:kinsoku/>
        <w:wordWrap/>
        <w:overflowPunct/>
        <w:topLinePunct w:val="0"/>
        <w:autoSpaceDE/>
        <w:autoSpaceDN/>
        <w:bidi w:val="0"/>
        <w:adjustRightInd/>
        <w:snapToGrid/>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由我单位实施的汶川县映秀镇爱国主义教育基地项目责，根据《汶川县城乡规划建设和住房保障局关于出具阿坝州汶川县公共实训基地建设项目规划选址预审意见的复函》(汶住建函【2018】32号）、《汶川县国土资源局关于阿坝州汶川县公共实训基地项目用地预审的复函》(汶国土资函【2018】18号）、《汶川县城乡规划建设和住房保障局关于出具阿坝州汶川县公共实训基地建设项目规划选址预审意见的复函》（汶住建函【2018】32号）、《汶川县人民政府关于阿坝州汶川县职业技能公共实训基地建设项目的承诺函》、《汶川县国土资源局关于阿坝州汶川县公共实训基地项目用地预审的复函》（汶国土资函【2018】18号）文件执行，教育基地选址于汶川县映秀镇。</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643" w:firstLineChars="200"/>
        <w:textAlignment w:val="auto"/>
        <w:rPr>
          <w:rStyle w:val="22"/>
          <w:rFonts w:hint="eastAsia" w:ascii="仿宋_GB2312" w:hAnsi="仿宋_GB2312" w:eastAsia="仿宋_GB2312" w:cs="仿宋_GB2312"/>
          <w:sz w:val="32"/>
          <w:szCs w:val="32"/>
          <w:shd w:val="clear" w:color="auto" w:fill="FFFFFF"/>
          <w:lang w:val="en-US" w:eastAsia="zh-CN"/>
        </w:rPr>
      </w:pPr>
      <w:r>
        <w:rPr>
          <w:rStyle w:val="22"/>
          <w:rFonts w:hint="eastAsia" w:ascii="仿宋_GB2312" w:hAnsi="仿宋_GB2312" w:eastAsia="仿宋_GB2312" w:cs="仿宋_GB2312"/>
          <w:sz w:val="32"/>
          <w:szCs w:val="32"/>
          <w:shd w:val="clear" w:color="auto" w:fill="FFFFFF"/>
          <w:lang w:val="en-US" w:eastAsia="zh-CN"/>
        </w:rPr>
        <w:t>2、项目绩效</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1.完成数量</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该项目可研性报告已完成。</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2.目标完成</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该项目符合绩效目标设定的验收标准，达到行业基准水平。</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3.完成时效</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该项目在规定时间完成。</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4、完成成本</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该项目未发现超出成本的情况。</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社会效益</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该项目的建设对周边区域具有很强的带动性，将进一步促进周边经济环境的发展，增加就业岗位并未当地政府带来可观的税收受益，为当地的经济发展带来巨大的贡献。</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公平公正</w:t>
      </w:r>
    </w:p>
    <w:p>
      <w:pPr>
        <w:pStyle w:val="19"/>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该项目实施过程中其受益群体享受政策做到了客观公正，政策设计和制度构建完善，没有发现有失公允的情况。</w:t>
      </w:r>
    </w:p>
    <w:p>
      <w:pPr>
        <w:numPr>
          <w:ilvl w:val="0"/>
          <w:numId w:val="3"/>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bookmarkEnd w:id="93"/>
      <w:bookmarkEnd w:id="94"/>
      <w:bookmarkEnd w:id="95"/>
      <w:bookmarkEnd w:id="96"/>
    </w:p>
    <w:p>
      <w:pPr>
        <w:spacing w:line="600" w:lineRule="exact"/>
        <w:jc w:val="left"/>
        <w:rPr>
          <w:rFonts w:ascii="宋体"/>
          <w:b/>
          <w:color w:val="000000"/>
          <w:sz w:val="44"/>
          <w:szCs w:val="44"/>
        </w:rPr>
      </w:pPr>
    </w:p>
    <w:p>
      <w:pPr>
        <w:pStyle w:val="3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34"/>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97" w:name="_Toc15377226"/>
      <w:r>
        <w:rPr>
          <w:rFonts w:ascii="宋体"/>
          <w:b/>
          <w:color w:val="000000"/>
          <w:sz w:val="44"/>
          <w:szCs w:val="44"/>
        </w:rPr>
        <w:br w:type="page"/>
      </w:r>
      <w:bookmarkStart w:id="98" w:name="_Toc15396618"/>
      <w:bookmarkStart w:id="99" w:name="_Toc79163635"/>
      <w:bookmarkStart w:id="100" w:name="_Toc79163885"/>
      <w:r>
        <w:rPr>
          <w:rFonts w:hint="eastAsia" w:ascii="黑体" w:hAnsi="黑体" w:eastAsia="黑体"/>
          <w:color w:val="000000"/>
          <w:sz w:val="44"/>
          <w:szCs w:val="44"/>
        </w:rPr>
        <w:t>第</w:t>
      </w:r>
      <w:r>
        <w:rPr>
          <w:rStyle w:val="24"/>
          <w:rFonts w:hint="eastAsia" w:ascii="黑体" w:hAnsi="黑体" w:eastAsia="黑体"/>
          <w:b w:val="0"/>
          <w:lang w:eastAsia="zh-CN"/>
        </w:rPr>
        <w:t>四</w:t>
      </w:r>
      <w:r>
        <w:rPr>
          <w:rStyle w:val="24"/>
          <w:rFonts w:hint="eastAsia" w:ascii="黑体" w:hAnsi="黑体" w:eastAsia="黑体"/>
          <w:b w:val="0"/>
        </w:rPr>
        <w:t>部分</w:t>
      </w:r>
      <w:r>
        <w:rPr>
          <w:rStyle w:val="24"/>
          <w:rFonts w:ascii="黑体" w:hAnsi="黑体" w:eastAsia="黑体"/>
          <w:b w:val="0"/>
        </w:rPr>
        <w:t xml:space="preserve"> </w:t>
      </w:r>
      <w:r>
        <w:rPr>
          <w:rStyle w:val="24"/>
          <w:rFonts w:hint="eastAsia" w:ascii="黑体" w:hAnsi="黑体" w:eastAsia="黑体"/>
          <w:b w:val="0"/>
        </w:rPr>
        <w:t>附表</w:t>
      </w:r>
      <w:bookmarkEnd w:id="97"/>
      <w:bookmarkEnd w:id="98"/>
      <w:bookmarkEnd w:id="99"/>
      <w:bookmarkEnd w:id="100"/>
    </w:p>
    <w:p>
      <w:pPr>
        <w:pStyle w:val="4"/>
        <w:rPr>
          <w:rFonts w:ascii="仿宋" w:hAnsi="仿宋" w:eastAsia="仿宋"/>
          <w:color w:val="000000"/>
        </w:rPr>
      </w:pPr>
      <w:bookmarkStart w:id="101" w:name="_Toc15396619"/>
      <w:bookmarkStart w:id="102" w:name="_Toc79163636"/>
      <w:bookmarkStart w:id="103" w:name="_Toc79163886"/>
      <w:r>
        <w:rPr>
          <w:rFonts w:hint="eastAsia" w:ascii="仿宋" w:hAnsi="仿宋" w:eastAsia="仿宋"/>
          <w:b w:val="0"/>
          <w:color w:val="000000"/>
        </w:rPr>
        <w:t>一、收</w:t>
      </w:r>
      <w:r>
        <w:rPr>
          <w:rStyle w:val="25"/>
          <w:rFonts w:hint="eastAsia" w:ascii="仿宋" w:hAnsi="仿宋" w:eastAsia="仿宋"/>
          <w:b w:val="0"/>
          <w:bCs w:val="0"/>
        </w:rPr>
        <w:t>入支出决算总表</w:t>
      </w:r>
      <w:bookmarkEnd w:id="101"/>
      <w:bookmarkEnd w:id="102"/>
      <w:bookmarkEnd w:id="103"/>
    </w:p>
    <w:p>
      <w:pPr>
        <w:pStyle w:val="4"/>
        <w:rPr>
          <w:rFonts w:ascii="仿宋" w:hAnsi="仿宋" w:eastAsia="仿宋"/>
          <w:color w:val="000000"/>
        </w:rPr>
      </w:pPr>
      <w:bookmarkStart w:id="104" w:name="_Toc15396620"/>
      <w:bookmarkStart w:id="105" w:name="_Toc79163637"/>
      <w:bookmarkStart w:id="106" w:name="_Toc79163887"/>
      <w:r>
        <w:rPr>
          <w:rFonts w:hint="eastAsia" w:ascii="仿宋" w:hAnsi="仿宋" w:eastAsia="仿宋"/>
          <w:b w:val="0"/>
          <w:color w:val="000000"/>
        </w:rPr>
        <w:t>二、收</w:t>
      </w:r>
      <w:r>
        <w:rPr>
          <w:rStyle w:val="25"/>
          <w:rFonts w:hint="eastAsia" w:ascii="仿宋" w:hAnsi="仿宋" w:eastAsia="仿宋"/>
          <w:b w:val="0"/>
          <w:bCs w:val="0"/>
        </w:rPr>
        <w:t>入决算表</w:t>
      </w:r>
      <w:bookmarkEnd w:id="104"/>
      <w:bookmarkEnd w:id="105"/>
      <w:bookmarkEnd w:id="106"/>
    </w:p>
    <w:p>
      <w:pPr>
        <w:pStyle w:val="4"/>
        <w:rPr>
          <w:rFonts w:ascii="仿宋" w:hAnsi="仿宋" w:eastAsia="仿宋"/>
          <w:color w:val="000000"/>
        </w:rPr>
      </w:pPr>
      <w:bookmarkStart w:id="107" w:name="_Toc15396621"/>
      <w:bookmarkStart w:id="108" w:name="_Toc79163638"/>
      <w:bookmarkStart w:id="109" w:name="_Toc79163888"/>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07"/>
      <w:bookmarkEnd w:id="108"/>
      <w:bookmarkEnd w:id="109"/>
    </w:p>
    <w:p>
      <w:pPr>
        <w:pStyle w:val="4"/>
        <w:rPr>
          <w:rFonts w:ascii="仿宋" w:hAnsi="仿宋" w:eastAsia="仿宋"/>
          <w:b w:val="0"/>
          <w:color w:val="000000"/>
        </w:rPr>
      </w:pPr>
      <w:bookmarkStart w:id="110" w:name="_Toc15396622"/>
      <w:bookmarkStart w:id="111" w:name="_Toc79163639"/>
      <w:bookmarkStart w:id="112" w:name="_Toc79163889"/>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10"/>
      <w:bookmarkEnd w:id="111"/>
      <w:bookmarkEnd w:id="112"/>
    </w:p>
    <w:p>
      <w:pPr>
        <w:pStyle w:val="4"/>
        <w:rPr>
          <w:rStyle w:val="25"/>
          <w:rFonts w:ascii="仿宋" w:hAnsi="仿宋" w:eastAsia="仿宋"/>
          <w:b w:val="0"/>
          <w:bCs w:val="0"/>
        </w:rPr>
      </w:pPr>
      <w:bookmarkStart w:id="113" w:name="_Toc15396623"/>
      <w:bookmarkStart w:id="114" w:name="_Toc79163640"/>
      <w:bookmarkStart w:id="115" w:name="_Toc79163890"/>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13"/>
      <w:bookmarkEnd w:id="114"/>
      <w:bookmarkEnd w:id="115"/>
      <w:bookmarkStart w:id="116" w:name="_Toc15396624"/>
    </w:p>
    <w:p>
      <w:pPr>
        <w:pStyle w:val="4"/>
        <w:rPr>
          <w:rFonts w:ascii="仿宋" w:hAnsi="仿宋" w:eastAsia="仿宋"/>
          <w:color w:val="000000"/>
        </w:rPr>
      </w:pPr>
      <w:bookmarkStart w:id="117" w:name="_Toc79163641"/>
      <w:bookmarkStart w:id="118" w:name="_Toc79163891"/>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16"/>
      <w:bookmarkEnd w:id="117"/>
      <w:bookmarkEnd w:id="118"/>
    </w:p>
    <w:p>
      <w:pPr>
        <w:pStyle w:val="4"/>
        <w:rPr>
          <w:rFonts w:ascii="仿宋" w:hAnsi="仿宋" w:eastAsia="仿宋"/>
          <w:color w:val="000000"/>
        </w:rPr>
      </w:pPr>
      <w:bookmarkStart w:id="119" w:name="_Toc15396625"/>
      <w:bookmarkStart w:id="120" w:name="_Toc79163642"/>
      <w:bookmarkStart w:id="121" w:name="_Toc79163892"/>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19"/>
      <w:bookmarkEnd w:id="120"/>
      <w:bookmarkEnd w:id="121"/>
    </w:p>
    <w:p>
      <w:pPr>
        <w:pStyle w:val="4"/>
        <w:rPr>
          <w:rFonts w:ascii="仿宋" w:hAnsi="仿宋" w:eastAsia="仿宋"/>
          <w:color w:val="000000"/>
        </w:rPr>
      </w:pPr>
      <w:bookmarkStart w:id="122" w:name="_Toc15396626"/>
      <w:bookmarkStart w:id="123" w:name="_Toc79163643"/>
      <w:bookmarkStart w:id="124" w:name="_Toc79163893"/>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22"/>
      <w:bookmarkEnd w:id="123"/>
      <w:bookmarkEnd w:id="124"/>
    </w:p>
    <w:p>
      <w:pPr>
        <w:pStyle w:val="4"/>
        <w:rPr>
          <w:rFonts w:ascii="仿宋" w:hAnsi="仿宋" w:eastAsia="仿宋"/>
          <w:color w:val="000000"/>
        </w:rPr>
      </w:pPr>
      <w:bookmarkStart w:id="125" w:name="_Toc15396627"/>
      <w:bookmarkStart w:id="126" w:name="_Toc79163644"/>
      <w:bookmarkStart w:id="127" w:name="_Toc79163894"/>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25"/>
      <w:bookmarkEnd w:id="126"/>
      <w:bookmarkEnd w:id="127"/>
    </w:p>
    <w:p>
      <w:pPr>
        <w:pStyle w:val="4"/>
        <w:rPr>
          <w:rFonts w:ascii="仿宋" w:hAnsi="仿宋" w:eastAsia="仿宋"/>
          <w:color w:val="000000"/>
        </w:rPr>
      </w:pPr>
      <w:bookmarkStart w:id="128" w:name="_Toc15396628"/>
      <w:bookmarkStart w:id="129" w:name="_Toc79163645"/>
      <w:bookmarkStart w:id="130" w:name="_Toc79163895"/>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28"/>
      <w:bookmarkEnd w:id="129"/>
      <w:bookmarkEnd w:id="130"/>
    </w:p>
    <w:p>
      <w:pPr>
        <w:pStyle w:val="4"/>
        <w:rPr>
          <w:rFonts w:ascii="仿宋" w:hAnsi="仿宋" w:eastAsia="仿宋"/>
          <w:color w:val="000000"/>
        </w:rPr>
      </w:pPr>
      <w:bookmarkStart w:id="131" w:name="_Toc15396629"/>
      <w:bookmarkStart w:id="132" w:name="_Toc79163646"/>
      <w:bookmarkStart w:id="133" w:name="_Toc79163896"/>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31"/>
      <w:bookmarkEnd w:id="132"/>
      <w:bookmarkEnd w:id="133"/>
    </w:p>
    <w:p>
      <w:pPr>
        <w:pStyle w:val="4"/>
        <w:rPr>
          <w:rFonts w:ascii="仿宋" w:hAnsi="仿宋" w:eastAsia="仿宋"/>
          <w:color w:val="000000"/>
        </w:rPr>
      </w:pPr>
      <w:bookmarkStart w:id="134" w:name="_Toc15396630"/>
      <w:bookmarkStart w:id="135" w:name="_Toc79163647"/>
      <w:bookmarkStart w:id="136" w:name="_Toc79163897"/>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34"/>
      <w:bookmarkEnd w:id="135"/>
      <w:bookmarkEnd w:id="136"/>
    </w:p>
    <w:p>
      <w:pPr>
        <w:pStyle w:val="4"/>
        <w:rPr>
          <w:rStyle w:val="25"/>
          <w:rFonts w:ascii="仿宋" w:hAnsi="仿宋" w:eastAsia="仿宋"/>
          <w:b w:val="0"/>
          <w:bCs w:val="0"/>
        </w:rPr>
      </w:pPr>
      <w:bookmarkStart w:id="137" w:name="_Toc15396631"/>
      <w:bookmarkStart w:id="138" w:name="_Toc79163648"/>
      <w:bookmarkStart w:id="139" w:name="_Toc79163898"/>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有资本经营预算财政拨款支出决算表</w:t>
      </w:r>
      <w:bookmarkEnd w:id="137"/>
      <w:bookmarkEnd w:id="138"/>
      <w:bookmarkEnd w:id="139"/>
    </w:p>
    <w:p>
      <w:pPr>
        <w:pStyle w:val="4"/>
        <w:rPr>
          <w:rStyle w:val="25"/>
          <w:rFonts w:ascii="仿宋" w:hAnsi="仿宋" w:eastAsia="仿宋"/>
          <w:b w:val="0"/>
          <w:bCs w:val="0"/>
        </w:rPr>
      </w:pPr>
      <w:bookmarkStart w:id="140" w:name="_Toc79163649"/>
      <w:bookmarkStart w:id="141" w:name="_Toc79163899"/>
      <w:r>
        <w:rPr>
          <w:rStyle w:val="25"/>
          <w:rFonts w:hint="eastAsia" w:ascii="仿宋" w:hAnsi="仿宋" w:eastAsia="仿宋"/>
          <w:b w:val="0"/>
          <w:bCs w:val="0"/>
        </w:rPr>
        <w:t>十四、国有资本经营预算财政拨款支出决算表</w:t>
      </w:r>
      <w:bookmarkEnd w:id="140"/>
      <w:bookmarkEnd w:id="14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B2FF7"/>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D3CC1"/>
    <w:rsid w:val="00FF1E02"/>
    <w:rsid w:val="00FF30B4"/>
    <w:rsid w:val="0A2032A3"/>
    <w:rsid w:val="10C055FF"/>
    <w:rsid w:val="118107EC"/>
    <w:rsid w:val="16BB723D"/>
    <w:rsid w:val="1D155CEE"/>
    <w:rsid w:val="240371BF"/>
    <w:rsid w:val="29FD04D3"/>
    <w:rsid w:val="319F7F4E"/>
    <w:rsid w:val="4ECE2238"/>
    <w:rsid w:val="4F966804"/>
    <w:rsid w:val="6C4A05C8"/>
    <w:rsid w:val="72734D90"/>
    <w:rsid w:val="7895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6"/>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rFonts w:ascii="Times New Roman" w:eastAsia="仿宋_GB2312"/>
      <w:sz w:val="32"/>
      <w:szCs w:val="24"/>
    </w:rPr>
  </w:style>
  <w:style w:type="paragraph" w:styleId="6">
    <w:name w:val="toc 7"/>
    <w:basedOn w:val="1"/>
    <w:next w:val="1"/>
    <w:unhideWhenUsed/>
    <w:qFormat/>
    <w:uiPriority w:val="39"/>
    <w:pPr>
      <w:ind w:left="1260"/>
      <w:jc w:val="left"/>
    </w:pPr>
    <w:rPr>
      <w:rFonts w:asciiTheme="minorHAnsi" w:eastAsiaTheme="minorHAnsi"/>
      <w:sz w:val="18"/>
      <w:szCs w:val="18"/>
    </w:rPr>
  </w:style>
  <w:style w:type="paragraph" w:styleId="7">
    <w:name w:val="Body Text"/>
    <w:basedOn w:val="1"/>
    <w:link w:val="33"/>
    <w:qFormat/>
    <w:uiPriority w:val="99"/>
    <w:pPr>
      <w:spacing w:beforeLines="30"/>
    </w:pPr>
    <w:rPr>
      <w:rFonts w:ascii="仿宋_GB2312" w:eastAsia="仿宋_GB2312"/>
      <w:kern w:val="0"/>
      <w:sz w:val="24"/>
      <w:szCs w:val="20"/>
      <w:lang w:val="zh-CN" w:eastAsia="zh-CN"/>
    </w:rPr>
  </w:style>
  <w:style w:type="paragraph" w:styleId="8">
    <w:name w:val="toc 5"/>
    <w:basedOn w:val="1"/>
    <w:next w:val="1"/>
    <w:unhideWhenUsed/>
    <w:qFormat/>
    <w:uiPriority w:val="39"/>
    <w:pPr>
      <w:ind w:left="840"/>
      <w:jc w:val="left"/>
    </w:pPr>
    <w:rPr>
      <w:rFonts w:asciiTheme="minorHAnsi" w:eastAsiaTheme="minorHAnsi"/>
      <w:sz w:val="18"/>
      <w:szCs w:val="18"/>
    </w:rPr>
  </w:style>
  <w:style w:type="paragraph" w:styleId="9">
    <w:name w:val="toc 3"/>
    <w:basedOn w:val="1"/>
    <w:next w:val="1"/>
    <w:unhideWhenUsed/>
    <w:qFormat/>
    <w:uiPriority w:val="39"/>
    <w:pPr>
      <w:ind w:left="420"/>
      <w:jc w:val="left"/>
    </w:pPr>
    <w:rPr>
      <w:rFonts w:asciiTheme="minorHAnsi" w:eastAsiaTheme="minorHAnsi"/>
      <w:i/>
      <w:iCs/>
      <w:sz w:val="20"/>
      <w:szCs w:val="20"/>
    </w:rPr>
  </w:style>
  <w:style w:type="paragraph" w:styleId="10">
    <w:name w:val="toc 8"/>
    <w:basedOn w:val="1"/>
    <w:next w:val="1"/>
    <w:unhideWhenUsed/>
    <w:qFormat/>
    <w:uiPriority w:val="39"/>
    <w:pPr>
      <w:ind w:left="1470"/>
      <w:jc w:val="left"/>
    </w:pPr>
    <w:rPr>
      <w:rFonts w:asciiTheme="minorHAnsi" w:eastAsiaTheme="minorHAnsi"/>
      <w:sz w:val="18"/>
      <w:szCs w:val="18"/>
    </w:rPr>
  </w:style>
  <w:style w:type="paragraph" w:styleId="11">
    <w:name w:val="Balloon Text"/>
    <w:basedOn w:val="1"/>
    <w:link w:val="28"/>
    <w:semiHidden/>
    <w:unhideWhenUsed/>
    <w:qFormat/>
    <w:uiPriority w:val="99"/>
    <w:rPr>
      <w:sz w:val="18"/>
      <w:szCs w:val="18"/>
    </w:rPr>
  </w:style>
  <w:style w:type="paragraph" w:styleId="12">
    <w:name w:val="footer"/>
    <w:basedOn w:val="1"/>
    <w:link w:val="32"/>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3">
    <w:name w:val="header"/>
    <w:basedOn w:val="1"/>
    <w:link w:val="3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4">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5">
    <w:name w:val="toc 4"/>
    <w:basedOn w:val="1"/>
    <w:next w:val="1"/>
    <w:unhideWhenUsed/>
    <w:qFormat/>
    <w:uiPriority w:val="39"/>
    <w:pPr>
      <w:ind w:left="630"/>
      <w:jc w:val="left"/>
    </w:pPr>
    <w:rPr>
      <w:rFonts w:asciiTheme="minorHAnsi" w:eastAsiaTheme="minorHAnsi"/>
      <w:sz w:val="18"/>
      <w:szCs w:val="18"/>
    </w:rPr>
  </w:style>
  <w:style w:type="paragraph" w:styleId="16">
    <w:name w:val="toc 6"/>
    <w:basedOn w:val="1"/>
    <w:next w:val="1"/>
    <w:unhideWhenUsed/>
    <w:qFormat/>
    <w:uiPriority w:val="39"/>
    <w:pPr>
      <w:ind w:left="1050"/>
      <w:jc w:val="left"/>
    </w:pPr>
    <w:rPr>
      <w:rFonts w:asciiTheme="minorHAnsi" w:eastAsiaTheme="minorHAnsi"/>
      <w:sz w:val="18"/>
      <w:szCs w:val="18"/>
    </w:rPr>
  </w:style>
  <w:style w:type="paragraph" w:styleId="17">
    <w:name w:val="toc 2"/>
    <w:basedOn w:val="1"/>
    <w:next w:val="1"/>
    <w:unhideWhenUsed/>
    <w:qFormat/>
    <w:uiPriority w:val="39"/>
    <w:pPr>
      <w:ind w:left="210"/>
      <w:jc w:val="left"/>
    </w:pPr>
    <w:rPr>
      <w:rFonts w:asciiTheme="minorHAnsi" w:eastAsiaTheme="minorHAnsi"/>
      <w:smallCaps/>
      <w:sz w:val="20"/>
      <w:szCs w:val="20"/>
    </w:rPr>
  </w:style>
  <w:style w:type="paragraph" w:styleId="18">
    <w:name w:val="toc 9"/>
    <w:basedOn w:val="1"/>
    <w:next w:val="1"/>
    <w:unhideWhenUsed/>
    <w:qFormat/>
    <w:uiPriority w:val="39"/>
    <w:pPr>
      <w:ind w:left="1680"/>
      <w:jc w:val="left"/>
    </w:pPr>
    <w:rPr>
      <w:rFonts w:asciiTheme="minorHAnsi" w:eastAsiaTheme="minorHAnsi"/>
      <w:sz w:val="18"/>
      <w:szCs w:val="18"/>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22">
    <w:name w:val="Strong"/>
    <w:basedOn w:val="21"/>
    <w:qFormat/>
    <w:uiPriority w:val="99"/>
    <w:rPr>
      <w:rFonts w:cs="Times New Roman"/>
      <w:b/>
    </w:rPr>
  </w:style>
  <w:style w:type="character" w:styleId="23">
    <w:name w:val="Hyperlink"/>
    <w:basedOn w:val="21"/>
    <w:unhideWhenUsed/>
    <w:qFormat/>
    <w:uiPriority w:val="99"/>
    <w:rPr>
      <w:rFonts w:cs="Times New Roman"/>
      <w:color w:val="0000FF"/>
      <w:u w:val="single"/>
    </w:rPr>
  </w:style>
  <w:style w:type="character" w:customStyle="1" w:styleId="24">
    <w:name w:val="标题 1 字符"/>
    <w:basedOn w:val="21"/>
    <w:link w:val="3"/>
    <w:qFormat/>
    <w:locked/>
    <w:uiPriority w:val="9"/>
    <w:rPr>
      <w:rFonts w:ascii="Times New Roman" w:hAnsi="Times New Roman" w:cs="Times New Roman"/>
      <w:b/>
      <w:bCs/>
      <w:kern w:val="44"/>
      <w:sz w:val="44"/>
      <w:szCs w:val="44"/>
    </w:rPr>
  </w:style>
  <w:style w:type="character" w:customStyle="1" w:styleId="25">
    <w:name w:val="标题 2 字符"/>
    <w:basedOn w:val="21"/>
    <w:link w:val="4"/>
    <w:qFormat/>
    <w:locked/>
    <w:uiPriority w:val="9"/>
    <w:rPr>
      <w:rFonts w:ascii="Cambria" w:hAnsi="Cambria" w:eastAsia="宋体" w:cs="Times New Roman"/>
      <w:b/>
      <w:bCs/>
      <w:kern w:val="2"/>
      <w:sz w:val="32"/>
      <w:szCs w:val="32"/>
    </w:rPr>
  </w:style>
  <w:style w:type="character" w:customStyle="1" w:styleId="26">
    <w:name w:val="标题 3 字符"/>
    <w:basedOn w:val="21"/>
    <w:link w:val="5"/>
    <w:qFormat/>
    <w:locked/>
    <w:uiPriority w:val="9"/>
    <w:rPr>
      <w:rFonts w:ascii="Times New Roman" w:hAnsi="Times New Roman" w:cs="Times New Roman"/>
      <w:b/>
      <w:bCs/>
      <w:kern w:val="2"/>
      <w:sz w:val="32"/>
      <w:szCs w:val="32"/>
    </w:rPr>
  </w:style>
  <w:style w:type="character" w:customStyle="1" w:styleId="27">
    <w:name w:val="Body Text Char"/>
    <w:basedOn w:val="21"/>
    <w:semiHidden/>
    <w:qFormat/>
    <w:uiPriority w:val="99"/>
    <w:rPr>
      <w:rFonts w:ascii="Times New Roman" w:hAnsi="Times New Roman" w:cs="Times New Roman"/>
      <w:sz w:val="24"/>
      <w:szCs w:val="24"/>
    </w:rPr>
  </w:style>
  <w:style w:type="character" w:customStyle="1" w:styleId="28">
    <w:name w:val="批注框文本 字符"/>
    <w:basedOn w:val="21"/>
    <w:link w:val="11"/>
    <w:semiHidden/>
    <w:qFormat/>
    <w:locked/>
    <w:uiPriority w:val="99"/>
    <w:rPr>
      <w:rFonts w:ascii="Times New Roman" w:hAnsi="Times New Roman" w:cs="Times New Roman"/>
      <w:kern w:val="2"/>
      <w:sz w:val="18"/>
      <w:szCs w:val="18"/>
    </w:rPr>
  </w:style>
  <w:style w:type="character" w:customStyle="1" w:styleId="29">
    <w:name w:val="Footer Char"/>
    <w:basedOn w:val="21"/>
    <w:semiHidden/>
    <w:qFormat/>
    <w:uiPriority w:val="99"/>
    <w:rPr>
      <w:rFonts w:ascii="Times New Roman" w:hAnsi="Times New Roman" w:cs="Times New Roman"/>
      <w:sz w:val="18"/>
      <w:szCs w:val="18"/>
    </w:rPr>
  </w:style>
  <w:style w:type="character" w:customStyle="1" w:styleId="30">
    <w:name w:val="Header Char"/>
    <w:basedOn w:val="21"/>
    <w:semiHidden/>
    <w:qFormat/>
    <w:uiPriority w:val="99"/>
    <w:rPr>
      <w:rFonts w:ascii="Times New Roman" w:hAnsi="Times New Roman" w:cs="Times New Roman"/>
      <w:sz w:val="18"/>
      <w:szCs w:val="18"/>
    </w:rPr>
  </w:style>
  <w:style w:type="character" w:customStyle="1" w:styleId="31">
    <w:name w:val="页眉 字符"/>
    <w:link w:val="13"/>
    <w:semiHidden/>
    <w:qFormat/>
    <w:locked/>
    <w:uiPriority w:val="99"/>
    <w:rPr>
      <w:sz w:val="18"/>
    </w:rPr>
  </w:style>
  <w:style w:type="character" w:customStyle="1" w:styleId="32">
    <w:name w:val="页脚 字符"/>
    <w:link w:val="12"/>
    <w:qFormat/>
    <w:locked/>
    <w:uiPriority w:val="99"/>
    <w:rPr>
      <w:sz w:val="18"/>
    </w:rPr>
  </w:style>
  <w:style w:type="character" w:customStyle="1" w:styleId="33">
    <w:name w:val="正文文本 字符"/>
    <w:link w:val="7"/>
    <w:qFormat/>
    <w:locked/>
    <w:uiPriority w:val="99"/>
    <w:rPr>
      <w:rFonts w:ascii="仿宋_GB2312" w:hAnsi="Times New Roman" w:eastAsia="仿宋_GB2312"/>
      <w:sz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5">
    <w:name w:val="列表段落1"/>
    <w:basedOn w:val="1"/>
    <w:qFormat/>
    <w:uiPriority w:val="34"/>
    <w:pPr>
      <w:ind w:firstLine="420" w:firstLineChars="200"/>
    </w:pPr>
  </w:style>
  <w:style w:type="paragraph" w:customStyle="1" w:styleId="36">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CAE55-CD1B-4B4A-B759-66D9AAD6058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1576</Words>
  <Characters>8984</Characters>
  <Lines>74</Lines>
  <Paragraphs>21</Paragraphs>
  <TotalTime>0</TotalTime>
  <ScaleCrop>false</ScaleCrop>
  <LinksUpToDate>false</LinksUpToDate>
  <CharactersWithSpaces>10539</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Administrator</cp:lastModifiedBy>
  <cp:lastPrinted>2021-07-29T03:56:00Z</cp:lastPrinted>
  <dcterms:modified xsi:type="dcterms:W3CDTF">2021-09-14T08:24:18Z</dcterms:modified>
  <dc:title>阿坝州部门决算说明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