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宋体" w:eastAsia="方正小标宋简体"/>
          <w:color w:val="000000"/>
          <w:sz w:val="72"/>
          <w:szCs w:val="72"/>
        </w:rPr>
      </w:pPr>
      <w:bookmarkStart w:id="0" w:name="_Toc15306267"/>
    </w:p>
    <w:p>
      <w:pPr>
        <w:spacing w:line="560" w:lineRule="exact"/>
        <w:jc w:val="center"/>
        <w:outlineLvl w:val="0"/>
        <w:rPr>
          <w:rFonts w:ascii="方正小标宋简体" w:hAnsi="宋体" w:eastAsia="方正小标宋简体"/>
          <w:color w:val="000000"/>
          <w:sz w:val="72"/>
          <w:szCs w:val="72"/>
        </w:rPr>
      </w:pPr>
    </w:p>
    <w:p>
      <w:pPr>
        <w:spacing w:line="360" w:lineRule="auto"/>
        <w:jc w:val="center"/>
        <w:outlineLvl w:val="0"/>
        <w:rPr>
          <w:rFonts w:ascii="方正小标宋简体" w:hAnsi="宋体" w:eastAsia="方正小标宋简体"/>
          <w:color w:val="000000"/>
          <w:sz w:val="72"/>
          <w:szCs w:val="72"/>
        </w:rPr>
      </w:pPr>
    </w:p>
    <w:p>
      <w:pPr>
        <w:spacing w:line="360" w:lineRule="auto"/>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96475"/>
      <w:bookmarkStart w:id="2" w:name="_Toc15396597"/>
      <w:bookmarkStart w:id="3" w:name="_Toc15377193"/>
      <w:bookmarkStart w:id="4" w:name="_Toc15378441"/>
      <w:bookmarkStart w:id="5" w:name="_Toc15377425"/>
      <w:r>
        <w:rPr>
          <w:rFonts w:hint="eastAsia" w:ascii="方正小标宋简体" w:hAnsi="方正小标宋简体" w:eastAsia="方正小标宋简体" w:cs="方正小标宋简体"/>
          <w:color w:val="000000"/>
          <w:sz w:val="52"/>
          <w:szCs w:val="52"/>
        </w:rPr>
        <w:t>20</w:t>
      </w:r>
      <w:r>
        <w:rPr>
          <w:rFonts w:hint="eastAsia" w:ascii="方正小标宋简体" w:hAnsi="方正小标宋简体" w:eastAsia="方正小标宋简体" w:cs="方正小标宋简体"/>
          <w:color w:val="000000"/>
          <w:sz w:val="52"/>
          <w:szCs w:val="52"/>
          <w:lang w:val="en-US" w:eastAsia="zh-CN"/>
        </w:rPr>
        <w:t>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77194"/>
      <w:bookmarkStart w:id="7" w:name="_Toc15377426"/>
      <w:bookmarkStart w:id="8" w:name="_Toc15396598"/>
      <w:bookmarkStart w:id="9" w:name="_Toc15396476"/>
      <w:bookmarkStart w:id="10" w:name="_Toc15378442"/>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eastAsia="zh-CN"/>
        </w:rPr>
        <w:t>阿坝州</w:t>
      </w:r>
      <w:r>
        <w:rPr>
          <w:rFonts w:hint="eastAsia" w:ascii="方正小标宋简体" w:hAnsi="宋体" w:eastAsia="方正小标宋简体"/>
          <w:color w:val="000000"/>
          <w:sz w:val="52"/>
          <w:szCs w:val="52"/>
        </w:rPr>
        <w:t>共青团</w:t>
      </w:r>
      <w:r>
        <w:rPr>
          <w:rFonts w:ascii="方正小标宋简体" w:hAnsi="宋体" w:eastAsia="方正小标宋简体"/>
          <w:color w:val="000000"/>
          <w:sz w:val="52"/>
          <w:szCs w:val="52"/>
        </w:rPr>
        <w:t>汶川县</w:t>
      </w:r>
    </w:p>
    <w:p>
      <w:pPr>
        <w:adjustRightInd w:val="0"/>
        <w:snapToGrid w:val="0"/>
        <w:spacing w:line="360" w:lineRule="auto"/>
        <w:jc w:val="center"/>
        <w:outlineLvl w:val="0"/>
        <w:rPr>
          <w:rFonts w:ascii="方正小标宋简体" w:hAnsi="宋体" w:eastAsia="方正小标宋简体"/>
          <w:color w:val="000000"/>
          <w:sz w:val="52"/>
          <w:szCs w:val="52"/>
        </w:rPr>
      </w:pPr>
      <w:r>
        <w:rPr>
          <w:rFonts w:ascii="方正小标宋简体" w:hAnsi="宋体" w:eastAsia="方正小标宋简体"/>
          <w:color w:val="000000"/>
          <w:sz w:val="52"/>
          <w:szCs w:val="52"/>
        </w:rPr>
        <w:t>委员会</w:t>
      </w:r>
      <w:r>
        <w:rPr>
          <w:rFonts w:hint="eastAsia" w:ascii="方正小标宋简体" w:hAnsi="宋体" w:eastAsia="方正小标宋简体"/>
          <w:color w:val="000000"/>
          <w:sz w:val="52"/>
          <w:szCs w:val="52"/>
          <w:lang w:eastAsia="zh-CN"/>
        </w:rPr>
        <w:t>部门</w:t>
      </w:r>
      <w:r>
        <w:rPr>
          <w:rFonts w:hint="eastAsia" w:ascii="方正小标宋简体" w:hAnsi="宋体" w:eastAsia="方正小标宋简体"/>
          <w:color w:val="000000"/>
          <w:sz w:val="52"/>
          <w:szCs w:val="52"/>
        </w:rPr>
        <w:t>决算</w:t>
      </w:r>
      <w:bookmarkEnd w:id="6"/>
      <w:bookmarkEnd w:id="7"/>
      <w:bookmarkEnd w:id="8"/>
      <w:bookmarkEnd w:id="9"/>
      <w:bookmarkEnd w:id="10"/>
      <w:bookmarkEnd w:id="11"/>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autoSpaceDE w:val="0"/>
        <w:autoSpaceDN w:val="0"/>
        <w:adjustRightInd w:val="0"/>
        <w:jc w:val="left"/>
        <w:rPr>
          <w:rFonts w:hint="eastAsia" w:ascii="宋体" w:hAnsi="宋体" w:cs="仿宋_GB2312"/>
          <w:sz w:val="32"/>
          <w:szCs w:val="32"/>
        </w:rPr>
      </w:pPr>
    </w:p>
    <w:p>
      <w:pPr>
        <w:pStyle w:val="2"/>
        <w:rPr>
          <w:rFonts w:hint="eastAsia" w:ascii="宋体" w:hAnsi="宋体" w:cs="仿宋_GB2312"/>
          <w:sz w:val="32"/>
          <w:szCs w:val="32"/>
        </w:rPr>
      </w:pPr>
    </w:p>
    <w:p>
      <w:pPr>
        <w:rPr>
          <w:rFonts w:hint="eastAsia"/>
        </w:rPr>
      </w:pPr>
    </w:p>
    <w:p>
      <w:pPr>
        <w:autoSpaceDE w:val="0"/>
        <w:autoSpaceDN w:val="0"/>
        <w:adjustRightInd w:val="0"/>
        <w:jc w:val="left"/>
        <w:rPr>
          <w:rFonts w:hint="eastAsia" w:ascii="宋体" w:hAnsi="宋体" w:cs="仿宋_GB2312"/>
          <w:sz w:val="32"/>
          <w:szCs w:val="32"/>
        </w:rPr>
      </w:pPr>
    </w:p>
    <w:p>
      <w:pPr>
        <w:autoSpaceDE w:val="0"/>
        <w:autoSpaceDN w:val="0"/>
        <w:adjustRightInd w:val="0"/>
        <w:jc w:val="left"/>
        <w:rPr>
          <w:rFonts w:hint="eastAsia" w:ascii="宋体" w:hAnsi="宋体" w:cs="仿宋_GB2312"/>
          <w:sz w:val="32"/>
          <w:szCs w:val="32"/>
        </w:rPr>
      </w:pPr>
    </w:p>
    <w:p>
      <w:pPr>
        <w:autoSpaceDE w:val="0"/>
        <w:autoSpaceDN w:val="0"/>
        <w:adjustRightInd w:val="0"/>
        <w:ind w:firstLine="960" w:firstLineChars="300"/>
        <w:jc w:val="left"/>
        <w:rPr>
          <w:rFonts w:ascii="宋体" w:hAnsi="宋体"/>
          <w:sz w:val="32"/>
          <w:szCs w:val="32"/>
        </w:rPr>
      </w:pPr>
      <w:r>
        <w:rPr>
          <w:rFonts w:hint="eastAsia" w:ascii="宋体" w:hAnsi="宋体" w:cs="仿宋_GB2312"/>
          <w:sz w:val="32"/>
          <w:szCs w:val="32"/>
        </w:rPr>
        <w:t>保密审查情况：已审查，内容审定</w:t>
      </w:r>
    </w:p>
    <w:p>
      <w:pPr>
        <w:widowControl/>
        <w:spacing w:line="560" w:lineRule="exact"/>
        <w:ind w:firstLine="640" w:firstLineChars="200"/>
        <w:jc w:val="center"/>
        <w:rPr>
          <w:rFonts w:ascii="黑体" w:hAnsi="黑体" w:eastAsia="黑体" w:cstheme="minorBidi"/>
          <w:sz w:val="28"/>
          <w:szCs w:val="28"/>
        </w:rPr>
      </w:pPr>
      <w:r>
        <w:rPr>
          <w:rFonts w:hint="eastAsia" w:ascii="宋体" w:hAnsi="宋体" w:cs="仿宋_GB2312"/>
          <w:sz w:val="32"/>
          <w:szCs w:val="32"/>
        </w:rPr>
        <w:t>部门主要负责人审签情况：已审签，同意对外公开</w:t>
      </w:r>
      <w:r>
        <w:rPr>
          <w:rFonts w:ascii="方正小标宋简体" w:hAnsi="宋体" w:eastAsia="方正小标宋简体"/>
          <w:color w:val="000000"/>
          <w:sz w:val="36"/>
          <w:szCs w:val="36"/>
        </w:rPr>
        <w:br w:type="page"/>
      </w:r>
      <w:r>
        <w:rPr>
          <w:rFonts w:hint="eastAsia" w:ascii="黑体" w:hAnsi="黑体" w:eastAsia="黑体"/>
          <w:color w:val="000000"/>
          <w:sz w:val="44"/>
          <w:szCs w:val="44"/>
        </w:rPr>
        <w:t>目录</w:t>
      </w: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spacing w:line="560" w:lineRule="exact"/>
      </w:pPr>
      <w:r>
        <w:rPr>
          <w:rFonts w:hint="eastAsia"/>
        </w:rPr>
        <w:t>公开时间：202</w:t>
      </w:r>
      <w:r>
        <w:rPr>
          <w:rFonts w:hint="eastAsia"/>
          <w:lang w:val="en-US" w:eastAsia="zh-CN"/>
        </w:rPr>
        <w:t>1</w:t>
      </w:r>
      <w:r>
        <w:rPr>
          <w:rFonts w:hint="eastAsia"/>
        </w:rPr>
        <w:t>年9月</w:t>
      </w:r>
      <w:r>
        <w:rPr>
          <w:rFonts w:hint="eastAsia"/>
          <w:lang w:val="en-US" w:eastAsia="zh-CN"/>
        </w:rPr>
        <w:t>13</w:t>
      </w:r>
      <w:r>
        <w:rPr>
          <w:rFonts w:hint="eastAsia"/>
        </w:rPr>
        <w:t>日</w:t>
      </w:r>
    </w:p>
    <w:p>
      <w:pPr>
        <w:spacing w:line="560" w:lineRule="exact"/>
      </w:pPr>
    </w:p>
    <w:p>
      <w:pPr>
        <w:pStyle w:val="12"/>
        <w:spacing w:line="560" w:lineRule="exact"/>
        <w:rPr>
          <w:rFonts w:cstheme="minorBidi"/>
        </w:rPr>
      </w:pPr>
      <w:r>
        <w:fldChar w:fldCharType="begin"/>
      </w:r>
      <w:r>
        <w:instrText xml:space="preserve"> HYPERLINK \l "_Toc15396599" </w:instrText>
      </w:r>
      <w:r>
        <w:fldChar w:fldCharType="separate"/>
      </w:r>
      <w:r>
        <w:rPr>
          <w:rStyle w:val="18"/>
          <w:rFonts w:hint="eastAsia"/>
        </w:rPr>
        <w:t>第一部分</w:t>
      </w:r>
      <w:r>
        <w:rPr>
          <w:rStyle w:val="18"/>
        </w:rPr>
        <w:t xml:space="preserve"> </w:t>
      </w:r>
      <w:r>
        <w:rPr>
          <w:rStyle w:val="18"/>
          <w:rFonts w:hint="eastAsia"/>
        </w:rPr>
        <w:t>部门概况</w:t>
      </w:r>
      <w:r>
        <w:tab/>
      </w:r>
      <w:r>
        <w:rPr>
          <w:rFonts w:hint="eastAsia"/>
        </w:rPr>
        <w:t>4</w:t>
      </w:r>
      <w:r>
        <w:rPr>
          <w:rFonts w:hint="eastAsia"/>
        </w:rPr>
        <w:fldChar w:fldCharType="end"/>
      </w:r>
    </w:p>
    <w:p>
      <w:pPr>
        <w:pStyle w:val="13"/>
        <w:spacing w:line="560" w:lineRule="exact"/>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w:t>
      </w:r>
      <w:r>
        <w:rPr>
          <w:rStyle w:val="18"/>
          <w:rFonts w:hint="eastAsia" w:ascii="仿宋" w:hAnsi="仿宋" w:eastAsia="仿宋"/>
          <w:sz w:val="28"/>
          <w:szCs w:val="28"/>
          <w:lang w:val="en-US" w:eastAsia="zh-CN"/>
        </w:rPr>
        <w:t>主要职能</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2"/>
        <w:spacing w:line="560" w:lineRule="exact"/>
        <w:rPr>
          <w:rFonts w:hint="eastAsia" w:eastAsia="仿宋"/>
          <w:lang w:val="en-US" w:eastAsia="zh-CN"/>
        </w:rPr>
      </w:pPr>
      <w:r>
        <w:fldChar w:fldCharType="begin"/>
      </w:r>
      <w:r>
        <w:instrText xml:space="preserve"> HYPERLINK \l "_Toc15396602" </w:instrText>
      </w:r>
      <w:r>
        <w:fldChar w:fldCharType="separate"/>
      </w:r>
      <w:r>
        <w:rPr>
          <w:rStyle w:val="18"/>
          <w:rFonts w:hint="eastAsia"/>
        </w:rPr>
        <w:t>第二部分</w:t>
      </w:r>
      <w:r>
        <w:rPr>
          <w:rStyle w:val="18"/>
        </w:rPr>
        <w:t xml:space="preserve"> 20</w:t>
      </w:r>
      <w:r>
        <w:rPr>
          <w:rStyle w:val="18"/>
          <w:rFonts w:hint="eastAsia"/>
          <w:lang w:val="en-US" w:eastAsia="zh-CN"/>
        </w:rPr>
        <w:t>20</w:t>
      </w:r>
      <w:r>
        <w:rPr>
          <w:rStyle w:val="18"/>
          <w:rFonts w:hint="eastAsia"/>
        </w:rPr>
        <w:t>年度部门决算情况说明</w:t>
      </w:r>
      <w:r>
        <w:tab/>
      </w:r>
      <w:r>
        <w:rPr>
          <w:rFonts w:hint="eastAsia"/>
          <w:lang w:val="en-US" w:eastAsia="zh-CN"/>
        </w:rPr>
        <w:t>1</w:t>
      </w:r>
      <w:r>
        <w:fldChar w:fldCharType="end"/>
      </w:r>
      <w:r>
        <w:rPr>
          <w:rFonts w:hint="eastAsia"/>
          <w:lang w:val="en-US" w:eastAsia="zh-CN"/>
        </w:rPr>
        <w:t>5</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3"/>
        <w:spacing w:line="560" w:lineRule="exact"/>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3"/>
        <w:spacing w:line="560" w:lineRule="exact"/>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（一）一般公共预算财政拨款支出决算总体情况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17</w:t>
      </w:r>
    </w:p>
    <w:p>
      <w:pPr>
        <w:pStyle w:val="8"/>
        <w:rPr>
          <w:rStyle w:val="18"/>
          <w:rFonts w:hint="eastAsia"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（二）一般公共预算财政拨款支出决算结构情况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18</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（三）一般公共预算财政拨款支出决算具体情况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19</w:t>
      </w:r>
    </w:p>
    <w:p>
      <w:pPr>
        <w:pStyle w:val="13"/>
        <w:spacing w:line="560" w:lineRule="exact"/>
        <w:rPr>
          <w:rFonts w:hint="eastAsia" w:ascii="仿宋" w:hAnsi="仿宋" w:eastAsia="仿宋"/>
          <w:sz w:val="28"/>
          <w:szCs w:val="28"/>
          <w:lang w:val="en-US" w:eastAsia="zh-CN"/>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3"/>
        <w:spacing w:line="560" w:lineRule="exact"/>
        <w:rPr>
          <w:rFonts w:hint="eastAsia" w:ascii="仿宋" w:hAnsi="仿宋" w:eastAsia="仿宋"/>
          <w:sz w:val="28"/>
          <w:szCs w:val="28"/>
          <w:lang w:val="en-US" w:eastAsia="zh-CN"/>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（一）“三公”经费财政拨款支出决算总体情况说明</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20</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（二）“三公”经费财政拨款支出决算具体情况说明</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20</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3"/>
        <w:spacing w:line="560" w:lineRule="exact"/>
        <w:rPr>
          <w:rFonts w:hint="eastAsia" w:ascii="仿宋" w:hAnsi="仿宋" w:eastAsia="仿宋"/>
          <w:sz w:val="28"/>
          <w:szCs w:val="28"/>
          <w:lang w:val="en-US" w:eastAsia="zh-CN"/>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、其他重要事项的情况说明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8"/>
        <w:rPr>
          <w:rStyle w:val="18"/>
          <w:rFonts w:hint="eastAsia" w:ascii="仿宋" w:hAnsi="仿宋" w:eastAsia="仿宋" w:cstheme="majorBidi"/>
          <w:bCs/>
          <w:kern w:val="2"/>
          <w:sz w:val="28"/>
          <w:szCs w:val="28"/>
          <w:lang w:val="en-US" w:eastAsia="zh-CN" w:bidi="ar-SA"/>
        </w:rPr>
      </w:pPr>
      <w:r>
        <w:rPr>
          <w:rFonts w:ascii="仿宋" w:hAnsi="仿宋" w:eastAsia="仿宋"/>
          <w:b/>
          <w:color w:val="000000"/>
        </w:rPr>
        <w:t>（</w:t>
      </w:r>
      <w:r>
        <w:rPr>
          <w:rStyle w:val="18"/>
          <w:rFonts w:hint="eastAsia" w:ascii="仿宋" w:hAnsi="仿宋" w:eastAsia="仿宋" w:cstheme="majorBidi"/>
          <w:bCs/>
          <w:kern w:val="2"/>
          <w:sz w:val="28"/>
          <w:szCs w:val="28"/>
          <w:lang w:val="en-US" w:eastAsia="zh-CN" w:bidi="ar-SA"/>
        </w:rPr>
        <w:t>一）机关运行经费支出情况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22</w:t>
      </w:r>
    </w:p>
    <w:p>
      <w:pPr>
        <w:pStyle w:val="8"/>
        <w:rPr>
          <w:rStyle w:val="18"/>
          <w:rFonts w:hint="eastAsia"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（二）政府采购支出情况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22</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（三）国有资产占有使用情况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23</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（四）预算绩效管理情况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23</w:t>
      </w:r>
    </w:p>
    <w:p>
      <w:pPr>
        <w:pStyle w:val="12"/>
        <w:spacing w:line="560" w:lineRule="exact"/>
        <w:jc w:val="both"/>
        <w:rPr>
          <w:rFonts w:hint="eastAsia" w:eastAsia="仿宋" w:cstheme="minorBidi"/>
          <w:lang w:val="en-US" w:eastAsia="zh-CN"/>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rPr>
          <w:rFonts w:hint="eastAsia"/>
          <w:lang w:val="en-US" w:eastAsia="zh-CN"/>
        </w:rPr>
        <w:t>2</w:t>
      </w:r>
      <w:r>
        <w:fldChar w:fldCharType="end"/>
      </w:r>
      <w:r>
        <w:rPr>
          <w:rFonts w:hint="eastAsia"/>
          <w:lang w:val="en-US" w:eastAsia="zh-CN"/>
        </w:rPr>
        <w:t>8</w:t>
      </w:r>
    </w:p>
    <w:p>
      <w:pPr>
        <w:pStyle w:val="12"/>
        <w:spacing w:line="560" w:lineRule="exact"/>
        <w:rPr>
          <w:rFonts w:cstheme="minorBidi"/>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w:t>
      </w:r>
      <w:r>
        <w:rPr>
          <w:rStyle w:val="18"/>
          <w:bCs/>
          <w:kern w:val="44"/>
        </w:rPr>
        <w:t xml:space="preserve"> </w:t>
      </w:r>
      <w:r>
        <w:rPr>
          <w:rStyle w:val="18"/>
          <w:rFonts w:hint="eastAsia"/>
          <w:bCs/>
          <w:kern w:val="44"/>
        </w:rPr>
        <w:t>附件</w:t>
      </w:r>
      <w:r>
        <w:tab/>
      </w:r>
      <w:r>
        <w:fldChar w:fldCharType="begin"/>
      </w:r>
      <w:r>
        <w:instrText xml:space="preserve"> PAGEREF _Toc15396614 \h </w:instrText>
      </w:r>
      <w:r>
        <w:fldChar w:fldCharType="separate"/>
      </w:r>
      <w:r>
        <w:t>32</w:t>
      </w:r>
      <w:r>
        <w:fldChar w:fldCharType="end"/>
      </w:r>
      <w:r>
        <w:fldChar w:fldCharType="end"/>
      </w:r>
    </w:p>
    <w:p>
      <w:pPr>
        <w:pStyle w:val="13"/>
        <w:spacing w:line="560" w:lineRule="exact"/>
        <w:rPr>
          <w:rFonts w:ascii="仿宋" w:hAnsi="仿宋" w:eastAsia="仿宋" w:cstheme="minorBidi"/>
          <w:sz w:val="28"/>
          <w:szCs w:val="28"/>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2"/>
        <w:spacing w:line="560" w:lineRule="exact"/>
        <w:rPr>
          <w:rFonts w:hint="eastAsia" w:eastAsia="仿宋" w:cstheme="minorBidi"/>
          <w:lang w:val="en-US"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w:t>
      </w:r>
      <w:r>
        <w:rPr>
          <w:rStyle w:val="18"/>
          <w:bCs/>
          <w:kern w:val="44"/>
        </w:rPr>
        <w:t xml:space="preserve"> </w:t>
      </w:r>
      <w:r>
        <w:rPr>
          <w:rStyle w:val="18"/>
          <w:rFonts w:hint="eastAsia"/>
          <w:bCs/>
          <w:kern w:val="44"/>
        </w:rPr>
        <w:t>附表</w:t>
      </w:r>
      <w:r>
        <w:tab/>
      </w:r>
      <w:r>
        <w:rPr>
          <w:rFonts w:hint="eastAsia"/>
          <w:lang w:val="en-US" w:eastAsia="zh-CN"/>
        </w:rPr>
        <w:t>3</w:t>
      </w:r>
      <w:r>
        <w:fldChar w:fldCharType="end"/>
      </w:r>
      <w:r>
        <w:rPr>
          <w:rFonts w:hint="eastAsia"/>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spacing w:line="560" w:lineRule="exact"/>
        <w:rPr>
          <w:rFonts w:hint="eastAsia"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widowControl/>
        <w:spacing w:line="560" w:lineRule="exact"/>
        <w:jc w:val="left"/>
        <w:rPr>
          <w:rFonts w:ascii="仿宋" w:hAnsi="仿宋" w:eastAsia="仿宋"/>
          <w:color w:val="000000"/>
          <w:sz w:val="24"/>
        </w:rPr>
      </w:pPr>
      <w:r>
        <w:rPr>
          <w:rFonts w:ascii="仿宋" w:hAnsi="仿宋" w:eastAsia="仿宋"/>
          <w:color w:val="000000"/>
          <w:sz w:val="24"/>
        </w:rPr>
        <w:fldChar w:fldCharType="end"/>
      </w:r>
    </w:p>
    <w:p>
      <w:pPr>
        <w:widowControl/>
        <w:spacing w:line="560" w:lineRule="exact"/>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spacing w:line="560" w:lineRule="exact"/>
        <w:jc w:val="center"/>
        <w:rPr>
          <w:rStyle w:val="27"/>
          <w:rFonts w:ascii="方正小标宋简体" w:hAnsi="方正小标宋简体" w:eastAsia="方正小标宋简体" w:cs="方正小标宋简体"/>
          <w:b/>
          <w:bCs w:val="0"/>
        </w:rPr>
      </w:pPr>
      <w:r>
        <w:rPr>
          <w:rFonts w:hint="eastAsia" w:ascii="方正小标宋简体" w:hAnsi="方正小标宋简体" w:eastAsia="方正小标宋简体" w:cs="方正小标宋简体"/>
          <w:b w:val="0"/>
        </w:rPr>
        <w:t xml:space="preserve">第一部分 </w:t>
      </w:r>
      <w:r>
        <w:rPr>
          <w:rStyle w:val="27"/>
          <w:rFonts w:hint="eastAsia" w:ascii="方正小标宋简体" w:hAnsi="方正小标宋简体" w:eastAsia="方正小标宋简体" w:cs="方正小标宋简体"/>
          <w:b w:val="0"/>
          <w:bCs w:val="0"/>
        </w:rPr>
        <w:t>部门概况</w:t>
      </w:r>
      <w:bookmarkEnd w:id="12"/>
      <w:bookmarkEnd w:id="13"/>
    </w:p>
    <w:p>
      <w:pPr>
        <w:widowControl/>
        <w:spacing w:line="560" w:lineRule="exact"/>
        <w:jc w:val="left"/>
        <w:rPr>
          <w:rFonts w:ascii="黑体" w:eastAsia="黑体"/>
          <w:color w:val="000000"/>
          <w:sz w:val="32"/>
          <w:szCs w:val="32"/>
        </w:rPr>
      </w:pPr>
    </w:p>
    <w:p>
      <w:pPr>
        <w:spacing w:line="560" w:lineRule="exact"/>
        <w:ind w:firstLine="320" w:firstLineChars="100"/>
        <w:rPr>
          <w:rStyle w:val="28"/>
          <w:rFonts w:ascii="仿宋" w:hAnsi="仿宋" w:eastAsia="仿宋"/>
          <w:b w:val="0"/>
          <w:bCs w:val="0"/>
        </w:rPr>
      </w:pPr>
      <w:bookmarkStart w:id="14" w:name="_Toc15396600"/>
      <w:bookmarkStart w:id="15" w:name="_Toc15377197"/>
      <w:r>
        <w:rPr>
          <w:rFonts w:hint="eastAsia" w:ascii="黑体" w:hAnsi="黑体" w:eastAsia="黑体"/>
          <w:color w:val="000000"/>
          <w:sz w:val="32"/>
          <w:szCs w:val="32"/>
        </w:rPr>
        <w:t>一、</w:t>
      </w:r>
      <w:r>
        <w:rPr>
          <w:rFonts w:hint="eastAsia" w:ascii="黑体" w:hAnsi="黑体" w:eastAsia="黑体"/>
          <w:color w:val="000000"/>
          <w:sz w:val="32"/>
          <w:szCs w:val="32"/>
          <w:lang w:val="en-US" w:eastAsia="zh-CN"/>
        </w:rPr>
        <w:t>主要</w:t>
      </w:r>
      <w:r>
        <w:rPr>
          <w:rStyle w:val="28"/>
          <w:rFonts w:hint="eastAsia" w:ascii="黑体" w:hAnsi="黑体" w:eastAsia="黑体"/>
          <w:b w:val="0"/>
          <w:bCs w:val="0"/>
        </w:rPr>
        <w:t>职能及主要工作</w:t>
      </w:r>
      <w:bookmarkEnd w:id="14"/>
      <w:bookmarkEnd w:id="15"/>
    </w:p>
    <w:p>
      <w:pPr>
        <w:widowControl/>
        <w:spacing w:line="560" w:lineRule="exact"/>
        <w:ind w:firstLine="643" w:firstLineChars="200"/>
        <w:rPr>
          <w:rFonts w:ascii="楷体" w:hAnsi="楷体" w:eastAsia="楷体" w:cs="楷体"/>
          <w:b/>
          <w:kern w:val="0"/>
          <w:sz w:val="32"/>
          <w:szCs w:val="32"/>
        </w:rPr>
      </w:pPr>
      <w:bookmarkStart w:id="16" w:name="_Toc15378445"/>
      <w:bookmarkStart w:id="17" w:name="_Toc15377198"/>
      <w:r>
        <w:rPr>
          <w:rFonts w:hint="eastAsia" w:ascii="楷体" w:hAnsi="楷体" w:eastAsia="楷体" w:cs="楷体"/>
          <w:b/>
          <w:color w:val="000000"/>
          <w:sz w:val="32"/>
          <w:szCs w:val="32"/>
        </w:rPr>
        <w:t>（一）</w:t>
      </w:r>
      <w:bookmarkEnd w:id="16"/>
      <w:bookmarkEnd w:id="17"/>
      <w:bookmarkStart w:id="18" w:name="_Toc15377200"/>
      <w:bookmarkStart w:id="19" w:name="_Toc15396601"/>
      <w:r>
        <w:rPr>
          <w:rFonts w:hint="eastAsia" w:ascii="楷体" w:hAnsi="楷体" w:eastAsia="楷体" w:cs="楷体"/>
          <w:b/>
          <w:kern w:val="0"/>
          <w:sz w:val="32"/>
          <w:szCs w:val="32"/>
        </w:rPr>
        <w:t>部门主要职责</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1.领导全县共青团工作。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2.负责县青联和县少先队工作委员会常务性工作。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3.承担县委、县政府和有关方面委托的青少年工作事务，参与民主管理和民主监督，协助、参与、处理社会上与青少年利益相关的工作。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4.参与全县性青少年法规制度实施、监督等工作，负责县未成年人保护方面的日常工作。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5.调查青年思想动态和青年工作情况，研究青年运动、青少年工作理论、青少年事业发展等工作，为县委、县政府决策提供依据。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6.负责全县团的组织建设，协助党组织管理、选拔和培训团的干部，指导县青少年活动营地和县实施希望工程办公室领导小组的工作。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7.负责、指导并组织面向全县青少年的思想理论教育、宣传文化活动，培养、选拔、推荐优秀青年，负责管理、指导团县委系统刊物的编发。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8.负责全县青年统战工作及青少年外事、县内外青少年友好交流工作。 </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9.承办县委、县政府交办的其他事项。</w:t>
      </w:r>
    </w:p>
    <w:p>
      <w:pPr>
        <w:widowControl/>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（二）20</w:t>
      </w:r>
      <w:r>
        <w:rPr>
          <w:rFonts w:hint="eastAsia" w:ascii="楷体" w:hAnsi="楷体" w:eastAsia="楷体" w:cs="楷体"/>
          <w:b/>
          <w:bCs/>
          <w:kern w:val="0"/>
          <w:sz w:val="32"/>
          <w:szCs w:val="32"/>
          <w:lang w:val="en-US" w:eastAsia="zh-CN"/>
        </w:rPr>
        <w:t>20</w:t>
      </w:r>
      <w:r>
        <w:rPr>
          <w:rFonts w:hint="eastAsia" w:ascii="楷体" w:hAnsi="楷体" w:eastAsia="楷体" w:cs="楷体"/>
          <w:b/>
          <w:bCs/>
          <w:kern w:val="0"/>
          <w:sz w:val="32"/>
          <w:szCs w:val="32"/>
        </w:rPr>
        <w:t>年重点工作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2020年，团县委深入学习贯彻党的十九大精神和习近平总书记来川视察重要讲话精神,</w:t>
      </w:r>
      <w:r>
        <w:rPr>
          <w:rFonts w:hint="eastAsia" w:ascii="仿宋_GB2312" w:hAnsi="仿宋_GB2312" w:eastAsia="仿宋_GB2312" w:cs="仿宋_GB2312"/>
          <w:sz w:val="32"/>
          <w:szCs w:val="32"/>
        </w:rPr>
        <w:t xml:space="preserve"> 增强“四个意识”、坚定“四个自信”,</w:t>
      </w:r>
      <w:r>
        <w:rPr>
          <w:rFonts w:hint="eastAsia" w:ascii="仿宋_GB2312" w:eastAsia="仿宋_GB2312"/>
          <w:sz w:val="32"/>
          <w:szCs w:val="32"/>
        </w:rPr>
        <w:t>以习近平新时代中国特色社会主义思想为指导,不忘初心、牢记使命,锐意进取、真抓实干，围绕县委、县政府和上级团委工作及决策部署，通过创新工作思路，抓重点、破难点、树亮点，使全县共青团工作基础扎实、重点突出、亮彩纷呈，取得了实实在在的效果，做实了共青团工作品牌。现将2020年工作总结汇报如下：</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Arial"/>
          <w:color w:val="191919"/>
          <w:sz w:val="32"/>
          <w:szCs w:val="32"/>
        </w:rPr>
      </w:pPr>
      <w:r>
        <w:rPr>
          <w:rFonts w:hint="eastAsia" w:ascii="黑体" w:hAnsi="黑体" w:eastAsia="黑体" w:cs="Arial"/>
          <w:color w:val="191919"/>
          <w:sz w:val="32"/>
          <w:szCs w:val="32"/>
          <w:lang w:val="en-US" w:eastAsia="zh-CN"/>
        </w:rPr>
        <w:t>1</w:t>
      </w:r>
      <w:r>
        <w:rPr>
          <w:rFonts w:ascii="黑体" w:hAnsi="黑体" w:eastAsia="黑体" w:cs="Arial"/>
          <w:color w:val="191919"/>
          <w:sz w:val="32"/>
          <w:szCs w:val="32"/>
        </w:rPr>
        <w:t>、旗帜鲜明讲政治，坚定不移听党话、跟党走</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团县委以促共青团工作发展为中心，以服务群众为切入点，着眼于加强基层党组织的执政能力建设和先进性建设，不断增强党组织的造创力、凝聚力和战斗力。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黑体"/>
          <w:b/>
          <w:bCs/>
          <w:kern w:val="0"/>
          <w:sz w:val="32"/>
          <w:szCs w:val="32"/>
        </w:rPr>
      </w:pPr>
      <w:r>
        <w:rPr>
          <w:rFonts w:hint="eastAsia" w:ascii="楷体" w:hAnsi="楷体" w:eastAsia="楷体" w:cs="黑体"/>
          <w:b/>
          <w:bCs/>
          <w:kern w:val="0"/>
          <w:sz w:val="32"/>
          <w:szCs w:val="32"/>
        </w:rPr>
        <w:t>（</w:t>
      </w:r>
      <w:r>
        <w:rPr>
          <w:rFonts w:hint="eastAsia" w:ascii="楷体" w:hAnsi="楷体" w:eastAsia="楷体" w:cs="黑体"/>
          <w:b/>
          <w:bCs/>
          <w:kern w:val="0"/>
          <w:sz w:val="32"/>
          <w:szCs w:val="32"/>
          <w:lang w:val="en-US" w:eastAsia="zh-CN"/>
        </w:rPr>
        <w:t>1</w:t>
      </w:r>
      <w:r>
        <w:rPr>
          <w:rFonts w:hint="eastAsia" w:ascii="楷体" w:hAnsi="楷体" w:eastAsia="楷体" w:cs="黑体"/>
          <w:b/>
          <w:bCs/>
          <w:kern w:val="0"/>
          <w:sz w:val="32"/>
          <w:szCs w:val="32"/>
        </w:rPr>
        <w:t>）切实加强党建带团建工作。</w:t>
      </w:r>
      <w:r>
        <w:rPr>
          <w:rFonts w:hint="eastAsia" w:ascii="仿宋_GB2312" w:hAnsi="仿宋_GB2312" w:eastAsia="仿宋_GB2312" w:cs="仿宋_GB2312"/>
          <w:sz w:val="32"/>
          <w:szCs w:val="32"/>
        </w:rPr>
        <w:t>团县委组织党员干部先后赴各乡镇指导基层团建工作，了解乡镇青年学习、就业、创业等情况。围绕“团员推优入党”等主题为乡镇团委培训讲解团课7次；精心开</w:t>
      </w:r>
      <w:r>
        <w:rPr>
          <w:rFonts w:hint="eastAsia" w:ascii="仿宋_GB2312" w:hAnsi="仿宋_GB2312" w:eastAsia="仿宋_GB2312" w:cs="仿宋_GB2312"/>
          <w:color w:val="000000" w:themeColor="text1"/>
          <w:sz w:val="32"/>
          <w:szCs w:val="32"/>
          <w14:textFill>
            <w14:solidFill>
              <w14:schemeClr w14:val="tx1"/>
            </w14:solidFill>
          </w14:textFill>
        </w:rPr>
        <w:t>展“不忘初心跟党走”、</w:t>
      </w:r>
      <w:r>
        <w:rPr>
          <w:rFonts w:hint="eastAsia" w:ascii="仿宋_GB2312" w:hAnsi="仿宋_GB2312" w:eastAsia="仿宋_GB2312" w:cs="仿宋_GB2312"/>
          <w:sz w:val="32"/>
          <w:szCs w:val="32"/>
        </w:rPr>
        <w:t>“我为慢生活度假区建设作贡献”等主题党日活动3场；结合“两联一进”开展“听党话、感党恩、跟党走”活动；联合大群团搭建了群团服务中心，广泛开展团组织转接、志愿服务、“儿童之家”、青年创业等工作，让群众感受到办事的方便快捷，形成办成事、办好事的工作理念；疫情期间在漩口镇宇宫庙村微信群里组织开展“共防疫情、共赢脱贫”线上有奖知识问答活动，内容包括疫情防控、脱贫攻坚、两联一进相关知识，参与人数达200余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黑体"/>
          <w:b/>
          <w:bCs/>
          <w:kern w:val="0"/>
          <w:sz w:val="32"/>
          <w:szCs w:val="32"/>
        </w:rPr>
      </w:pPr>
      <w:r>
        <w:rPr>
          <w:rFonts w:hint="eastAsia" w:ascii="楷体" w:hAnsi="楷体" w:eastAsia="楷体" w:cs="黑体"/>
          <w:b/>
          <w:bCs/>
          <w:kern w:val="0"/>
          <w:sz w:val="32"/>
          <w:szCs w:val="32"/>
        </w:rPr>
        <w:t>（</w:t>
      </w:r>
      <w:r>
        <w:rPr>
          <w:rFonts w:hint="eastAsia" w:ascii="楷体" w:hAnsi="楷体" w:eastAsia="楷体" w:cs="黑体"/>
          <w:b/>
          <w:bCs/>
          <w:kern w:val="0"/>
          <w:sz w:val="32"/>
          <w:szCs w:val="32"/>
          <w:lang w:val="en-US" w:eastAsia="zh-CN"/>
        </w:rPr>
        <w:t>2</w:t>
      </w:r>
      <w:r>
        <w:rPr>
          <w:rFonts w:hint="eastAsia" w:ascii="楷体" w:hAnsi="楷体" w:eastAsia="楷体" w:cs="黑体"/>
          <w:b/>
          <w:bCs/>
          <w:kern w:val="0"/>
          <w:sz w:val="32"/>
          <w:szCs w:val="32"/>
        </w:rPr>
        <w:t>）落实全面从严治党主体责任。</w:t>
      </w:r>
      <w:r>
        <w:rPr>
          <w:rFonts w:hint="eastAsia" w:ascii="仿宋_GB2312" w:hAnsi="仿宋_GB2312" w:eastAsia="仿宋_GB2312" w:cs="仿宋_GB2312"/>
          <w:bCs/>
          <w:kern w:val="0"/>
          <w:sz w:val="32"/>
          <w:szCs w:val="32"/>
        </w:rPr>
        <w:t>团县委党支部切实增强主体责任意识，既在干事上勇于负责，更在管党治党上敢于担当。党支部研究党风廉政建设和反腐败工作2次，及时传达落实上级有关党风廉政和反腐败工作部署要求，学习贯彻《十九届中央纪委四次全会精神传达提纲》、《省纪委十一届四次全会精神传达提纲》、《中共汶川县纪委第十二届五次全会精神暨张通荣书记讲话精神》等，每月向派驻纪检监察组报告主体责任履行情况。注重加强日常监督，党支部书记、领导班子成员经常性开展谈心谈话，多做咬耳扯袖的工作。党支部书记与班子成员谈心谈话2次、班子成员与中层干部开展谈心谈话4次，支部书记与本支部党员开展谈心谈话4次，开展单位全体职工党风廉政集中谈心谈话4次，</w:t>
      </w:r>
      <w:r>
        <w:rPr>
          <w:rFonts w:hint="eastAsia" w:ascii="仿宋_GB2312" w:hAnsi="仿宋_GB2312" w:eastAsia="仿宋_GB2312" w:cs="仿宋_GB2312"/>
          <w:color w:val="000000"/>
          <w:sz w:val="32"/>
          <w:szCs w:val="32"/>
        </w:rPr>
        <w:t>组织全体干部职工学习省州县有关违法违纪通报10余次，观看廉政警示教育片5次，学习违纪违规典型案例10余次。</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Arial"/>
          <w:color w:val="191919"/>
          <w:sz w:val="32"/>
          <w:szCs w:val="32"/>
        </w:rPr>
      </w:pPr>
      <w:r>
        <w:rPr>
          <w:rFonts w:hint="eastAsia" w:ascii="黑体" w:hAnsi="黑体" w:eastAsia="黑体" w:cs="Arial"/>
          <w:color w:val="191919"/>
          <w:sz w:val="32"/>
          <w:szCs w:val="32"/>
          <w:lang w:val="en-US" w:eastAsia="zh-CN"/>
        </w:rPr>
        <w:t>2</w:t>
      </w:r>
      <w:r>
        <w:rPr>
          <w:rFonts w:ascii="黑体" w:hAnsi="黑体" w:eastAsia="黑体" w:cs="Arial"/>
          <w:color w:val="191919"/>
          <w:sz w:val="32"/>
          <w:szCs w:val="32"/>
        </w:rPr>
        <w:t>、紧扣中心勇追梦，凝心聚力展作为、建新功</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团县委立足创新志愿服务，</w:t>
      </w:r>
      <w:r>
        <w:rPr>
          <w:rFonts w:hint="eastAsia" w:ascii="仿宋_GB2312" w:hAnsi="ˎ̥" w:eastAsia="仿宋_GB2312"/>
          <w:sz w:val="32"/>
          <w:szCs w:val="32"/>
        </w:rPr>
        <w:t>完善志愿者注册，</w:t>
      </w:r>
      <w:r>
        <w:rPr>
          <w:rFonts w:hint="eastAsia" w:ascii="仿宋_GB2312" w:eastAsia="仿宋_GB2312"/>
          <w:sz w:val="32"/>
          <w:szCs w:val="32"/>
        </w:rPr>
        <w:t>广泛开展形式多样的志愿服务活动。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楷体" w:hAnsi="楷体" w:eastAsia="楷体" w:cs="Arial"/>
          <w:b/>
          <w:color w:val="191919"/>
          <w:sz w:val="32"/>
          <w:szCs w:val="32"/>
        </w:rPr>
        <w:t>（</w:t>
      </w:r>
      <w:r>
        <w:rPr>
          <w:rFonts w:hint="eastAsia" w:ascii="楷体" w:hAnsi="楷体" w:eastAsia="楷体" w:cs="Arial"/>
          <w:b/>
          <w:color w:val="191919"/>
          <w:sz w:val="32"/>
          <w:szCs w:val="32"/>
          <w:lang w:val="en-US" w:eastAsia="zh-CN"/>
        </w:rPr>
        <w:t>1</w:t>
      </w:r>
      <w:r>
        <w:rPr>
          <w:rFonts w:hint="eastAsia" w:ascii="楷体" w:hAnsi="楷体" w:eastAsia="楷体" w:cs="Arial"/>
          <w:b/>
          <w:color w:val="191919"/>
          <w:sz w:val="32"/>
          <w:szCs w:val="32"/>
        </w:rPr>
        <w:t>）疫情下的志愿者展作为。</w:t>
      </w:r>
      <w:r>
        <w:rPr>
          <w:rFonts w:hint="eastAsia" w:ascii="仿宋" w:hAnsi="仿宋" w:eastAsia="仿宋" w:cs="仿宋"/>
          <w:b/>
          <w:sz w:val="32"/>
          <w:szCs w:val="32"/>
        </w:rPr>
        <w:t>第一，线下总动员。</w:t>
      </w:r>
      <w:r>
        <w:rPr>
          <w:rFonts w:hint="eastAsia" w:ascii="仿宋" w:hAnsi="仿宋" w:eastAsia="仿宋" w:cs="仿宋"/>
          <w:sz w:val="32"/>
          <w:szCs w:val="32"/>
        </w:rPr>
        <w:t>对严峻的疫情防控形势，团县委迅速行动，第一时间发布《招募疫情防控志愿者倡议书》，号召全县基层团组织和广大青年积极投身疫情防控主战场。牵头成立汶川县无忧时间银行防疫志愿服务队并招募志愿者300余人，组建青年志愿服务队7支200余人、青年突击队4支100余人，党员突击队3支60余人，开展“敲门行动”、“为爱传递”、“托尼上线”、“卡点值守”等专题志愿服务活动。累计发放志愿者“敲门行动”宣传名片8000余张，完成敲门行动志愿服务186次，线上解决群众需求293个，回答群众疑问133条，传递情人节心意卡90余张，送去情人节祝福80余户,派出志愿理发员20余名，完成理发人员300余名，派出136名志愿者参与6个卡点值守，派出83名志愿者参与2个社区值守并发放进出卡5889张。</w:t>
      </w:r>
      <w:r>
        <w:rPr>
          <w:rFonts w:hint="eastAsia" w:ascii="仿宋" w:hAnsi="仿宋" w:eastAsia="仿宋" w:cs="仿宋"/>
          <w:b/>
          <w:sz w:val="32"/>
          <w:szCs w:val="32"/>
        </w:rPr>
        <w:t>第二，线上齐发力。</w:t>
      </w:r>
      <w:r>
        <w:rPr>
          <w:rFonts w:hint="eastAsia" w:ascii="仿宋" w:hAnsi="仿宋" w:eastAsia="仿宋" w:cs="仿宋"/>
          <w:sz w:val="32"/>
          <w:szCs w:val="32"/>
        </w:rPr>
        <w:t>在行动的同时，团县委不仅做好青年的小喇叭，更做好党的喊话器,通过微博、微信等新媒体平台，推出“以舞抗疫、以舞致敬”、“听我说谢谢你”舞蹈视频等疫情动态47条，累计阅读量达16920人次，及时转发微汶川、微阿坝等官方媒体动态，积极发布团县委防疫活动信息，累计发布信息49条，转发500余次，阅读量达0.86万，累计发布团县委抗疫一线纪实专栏--《“疫”路同行下的别样青春》32条，转发300余次，阅读量达0.53万，动员26个家庭参加“童真同画、童心抗疫”活动，同时</w:t>
      </w:r>
      <w:r>
        <w:rPr>
          <w:rFonts w:hint="eastAsia" w:ascii="仿宋_GB2312" w:hAnsi="仿宋_GB2312" w:eastAsia="仿宋_GB2312" w:cs="仿宋_GB2312"/>
          <w:color w:val="000000"/>
          <w:sz w:val="32"/>
          <w:szCs w:val="32"/>
        </w:rPr>
        <w:t>开展“同心抗疫、线上同教”汶川县青少年宫线上免费公益课，共计录播课程210堂，2400余人次参加，确保全县一线防疫人员子女、留守儿童、贫困学生全覆盖。</w:t>
      </w:r>
      <w:r>
        <w:rPr>
          <w:rFonts w:hint="eastAsia" w:ascii="仿宋" w:hAnsi="仿宋" w:eastAsia="仿宋" w:cs="仿宋"/>
          <w:sz w:val="32"/>
          <w:szCs w:val="32"/>
        </w:rPr>
        <w:t>团县委紧紧围绕县委县政府决策部署，动员全团之力，用实际行动</w:t>
      </w:r>
      <w:r>
        <w:rPr>
          <w:rFonts w:hint="eastAsia" w:ascii="仿宋" w:hAnsi="仿宋" w:eastAsia="仿宋" w:cs="仿宋"/>
          <w:sz w:val="32"/>
          <w:szCs w:val="32"/>
          <w:lang w:eastAsia="zh-CN"/>
        </w:rPr>
        <w:t>铸牢</w:t>
      </w:r>
      <w:r>
        <w:rPr>
          <w:rFonts w:hint="eastAsia" w:ascii="仿宋" w:hAnsi="仿宋" w:eastAsia="仿宋" w:cs="仿宋"/>
          <w:sz w:val="32"/>
          <w:szCs w:val="32"/>
        </w:rPr>
        <w:t>联防联控的“钢铁防线”，用青春力量让团旗高高飘扬在战疫各阵地。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Arial"/>
          <w:b/>
          <w:color w:val="191919"/>
          <w:sz w:val="32"/>
          <w:szCs w:val="32"/>
        </w:rPr>
      </w:pPr>
      <w:r>
        <w:rPr>
          <w:rFonts w:hint="eastAsia" w:ascii="楷体" w:hAnsi="楷体" w:eastAsia="楷体" w:cs="Arial"/>
          <w:b/>
          <w:color w:val="191919"/>
          <w:sz w:val="32"/>
          <w:szCs w:val="32"/>
        </w:rPr>
        <w:t>（</w:t>
      </w:r>
      <w:r>
        <w:rPr>
          <w:rFonts w:hint="eastAsia" w:ascii="楷体" w:hAnsi="楷体" w:eastAsia="楷体" w:cs="Arial"/>
          <w:b/>
          <w:color w:val="191919"/>
          <w:sz w:val="32"/>
          <w:szCs w:val="32"/>
          <w:lang w:val="en-US" w:eastAsia="zh-CN"/>
        </w:rPr>
        <w:t>2</w:t>
      </w:r>
      <w:r>
        <w:rPr>
          <w:rFonts w:hint="eastAsia" w:ascii="楷体" w:hAnsi="楷体" w:eastAsia="楷体" w:cs="Arial"/>
          <w:b/>
          <w:color w:val="191919"/>
          <w:sz w:val="32"/>
          <w:szCs w:val="32"/>
        </w:rPr>
        <w:t>）节会中的志愿者展风采。</w:t>
      </w:r>
      <w:r>
        <w:rPr>
          <w:rFonts w:hint="eastAsia" w:ascii="仿宋_GB2312" w:hAnsi="仿宋_GB2312" w:eastAsia="仿宋_GB2312" w:cs="仿宋_GB2312"/>
          <w:sz w:val="32"/>
          <w:szCs w:val="32"/>
        </w:rPr>
        <w:t>在阿坝州大禹文化学术交流活动暨汶川县无忧地·慢生活国家级旅游度假区创建启动大会、阿坝州第四届特色美食烹饪技能大赛暨美食展、2020年汶川马拉松、汶川县熊猫02生态音乐节、2020年阿坝州文化和旅游暨全域旅游发展大会等活动中，累计派出300余人次承担志愿服务工作，为嘉宾提供道路指引、入场引导、随车礼仪、环境卫生维护等服务中，为活动的顺利进行提供了有力的服务保障，受到了各界嘉宾、领导和广大群众的高度肯定。</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Arial"/>
          <w:color w:val="191919"/>
          <w:sz w:val="32"/>
          <w:szCs w:val="32"/>
        </w:rPr>
      </w:pPr>
      <w:r>
        <w:rPr>
          <w:rFonts w:hint="eastAsia" w:ascii="黑体" w:hAnsi="黑体" w:eastAsia="黑体" w:cs="Arial"/>
          <w:color w:val="191919"/>
          <w:sz w:val="32"/>
          <w:szCs w:val="32"/>
          <w:lang w:val="en-US" w:eastAsia="zh-CN"/>
        </w:rPr>
        <w:t>3</w:t>
      </w:r>
      <w:r>
        <w:rPr>
          <w:rFonts w:ascii="黑体" w:hAnsi="黑体" w:eastAsia="黑体" w:cs="Arial"/>
          <w:color w:val="191919"/>
          <w:sz w:val="32"/>
          <w:szCs w:val="32"/>
        </w:rPr>
        <w:t>、履职尽责显担当，聚焦主业抓基层、强基础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团县委以“服务青年、服务大局”为主题，认真贯彻落实县委、县政府的决策部署，扎实推进民生工程创建工作。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000000"/>
          <w:kern w:val="0"/>
          <w:sz w:val="31"/>
          <w:szCs w:val="31"/>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）多渠道助学困难学生。</w:t>
      </w:r>
      <w:r>
        <w:rPr>
          <w:rFonts w:hint="eastAsia" w:ascii="仿宋_GB2312" w:hAnsi="宋体" w:eastAsia="仿宋_GB2312" w:cs="宋体"/>
          <w:kern w:val="0"/>
          <w:sz w:val="32"/>
          <w:szCs w:val="32"/>
        </w:rPr>
        <w:t>重大节日为困难学生送去关爱，</w:t>
      </w:r>
      <w:r>
        <w:rPr>
          <w:rFonts w:hint="eastAsia" w:ascii="仿宋_GB2312" w:hAnsi="宋体" w:eastAsia="仿宋_GB2312"/>
          <w:sz w:val="32"/>
          <w:szCs w:val="32"/>
        </w:rPr>
        <w:t>在春节前夕、六一、中秋等慰问困难学生，从心理上给予关爱和帮扶，在物质上争取资金和支持；多渠道争取助学基金，如</w:t>
      </w:r>
      <w:r>
        <w:rPr>
          <w:rFonts w:hint="eastAsia" w:ascii="仿宋_GB2312" w:hAnsi="华文中宋" w:eastAsia="仿宋_GB2312"/>
          <w:sz w:val="32"/>
          <w:szCs w:val="32"/>
        </w:rPr>
        <w:t>“共青希望新心-如新中华儿童心脏病基金慈善救助项目</w:t>
      </w:r>
      <w:r>
        <w:rPr>
          <w:rFonts w:hint="eastAsia" w:ascii="仿宋_GB2312" w:hAnsi="楷体" w:eastAsia="仿宋_GB2312" w:cs="宋体"/>
          <w:kern w:val="0"/>
          <w:sz w:val="32"/>
          <w:szCs w:val="32"/>
        </w:rPr>
        <w:t>”、“2020年度‘向阳花少儿医疗救助基金’助力脱贫攻坚助医行动”等，3名贫困生成功申报“中国茅台·国之栋梁——2020希望工程圆梦行动大型公益助学活动”，受助资金共计15000元，1名贫困生成功申报“四川银行扶贫慈善基金助学项目”，受助资金5000元，31名学生成功申报“2020年汶川县教育扶贫专项党费资助”，受助资金共计76000元；</w:t>
      </w:r>
      <w:r>
        <w:rPr>
          <w:rFonts w:hint="eastAsia" w:ascii="仿宋_GB2312" w:hAnsi="仿宋_GB2312" w:eastAsia="仿宋_GB2312" w:cs="仿宋_GB2312"/>
          <w:sz w:val="32"/>
          <w:szCs w:val="32"/>
        </w:rPr>
        <w:t>加强留守儿童关爱帮扶，在银杏小学和萝卜寨建立了2个“童伴之家”，陆续开展了“童伴之家”家校走访、亲情电话“暖心窝”、“妈妈”为你扎小辫、手拉手友谊升级等活动；</w:t>
      </w:r>
      <w:r>
        <w:rPr>
          <w:rFonts w:hint="eastAsia" w:ascii="仿宋_GB2312" w:hAnsi="仿宋_GB2312" w:eastAsia="仿宋_GB2312" w:cs="仿宋_GB2312"/>
          <w:color w:val="000000"/>
          <w:kern w:val="0"/>
          <w:sz w:val="31"/>
          <w:szCs w:val="31"/>
        </w:rPr>
        <w:t>5月29日由团县委、团台州市委主办“携手台州·圆梦六一”大礼包派送活动，为特殊青少年群体、留守儿童、建档立卡贫困户儿童送出100份学习礼包； 8月10日至15日由团县委、县发展和改革局和团义乌市委共同主办“行知江南·益趣成长”公益夏令营活动，全县留守儿童和困难学生共计22人参加。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 w:hAnsi="楷体" w:eastAsia="楷体" w:cs="Arial"/>
          <w:b/>
          <w:color w:val="191919"/>
          <w:sz w:val="32"/>
          <w:szCs w:val="32"/>
        </w:rPr>
        <w:t>（</w:t>
      </w:r>
      <w:r>
        <w:rPr>
          <w:rFonts w:hint="eastAsia" w:ascii="楷体" w:hAnsi="楷体" w:eastAsia="楷体" w:cs="Arial"/>
          <w:b/>
          <w:color w:val="191919"/>
          <w:sz w:val="32"/>
          <w:szCs w:val="32"/>
          <w:lang w:val="en-US" w:eastAsia="zh-CN"/>
        </w:rPr>
        <w:t>2</w:t>
      </w:r>
      <w:r>
        <w:rPr>
          <w:rFonts w:hint="eastAsia" w:ascii="楷体" w:hAnsi="楷体" w:eastAsia="楷体" w:cs="Arial"/>
          <w:b/>
          <w:color w:val="191919"/>
          <w:sz w:val="32"/>
          <w:szCs w:val="32"/>
        </w:rPr>
        <w:t>）多思路帮扶助力脱贫。</w:t>
      </w:r>
      <w:r>
        <w:rPr>
          <w:rFonts w:hint="eastAsia" w:ascii="仿宋_GB2312" w:hAnsi="仿宋_GB2312" w:eastAsia="仿宋_GB2312" w:cs="仿宋_GB2312"/>
          <w:sz w:val="32"/>
          <w:szCs w:val="32"/>
        </w:rPr>
        <w:t>今年是脱贫攻坚工作的收官之年，为了做好帮扶村脱贫攻坚工作，团县委组织青年志愿者深入我县精准扶贫户家中走访调研，助抢春耕，开展环境卫生整治志愿服务活动，收集贫困户困难，及时反馈；继续通过网络、新媒体、青年大学习等打造青年的网上精神家园，做好青少年思想道德水平建设工作，与相关部门一起，引导青年关注脱贫攻坚、乡村振兴等工作，树立正面宣传；为了减轻疫情对村集体经济发展的影响，组织村党员、干部和户主代表前往四川省乡村振兴示范村映秀镇渔子溪村考察学习；</w:t>
      </w:r>
      <w:r>
        <w:rPr>
          <w:rFonts w:hint="eastAsia" w:ascii="仿宋_GB2312" w:eastAsia="仿宋_GB2312"/>
          <w:sz w:val="32"/>
          <w:szCs w:val="32"/>
        </w:rPr>
        <w:t>协助村两委向县政府、县民政局申请村维修资金，目前村党群活动中心已完成了维修和加固并正式使用；</w:t>
      </w:r>
      <w:r>
        <w:rPr>
          <w:rFonts w:hint="eastAsia" w:ascii="仿宋_GB2312" w:hAnsi="仿宋_GB2312" w:eastAsia="仿宋_GB2312" w:cs="仿宋_GB2312"/>
          <w:sz w:val="32"/>
          <w:szCs w:val="32"/>
        </w:rPr>
        <w:t>通过“两联一进”、“户户入、入户户”等形式组织职工定期赴宇宫庙村宣传，提升村民政策知晓度，助力村级建制改革，</w:t>
      </w:r>
      <w:r>
        <w:rPr>
          <w:rFonts w:hint="eastAsia" w:ascii="仿宋_GB2312" w:eastAsia="仿宋_GB2312"/>
          <w:sz w:val="32"/>
          <w:szCs w:val="32"/>
        </w:rPr>
        <w:t>前期调研考察后，团县委和村两委商议讨论，最终确定发展养殖和林下种植相结合的循环生态农业，项目申请已报至漩口镇政府；对全县创业青年进行全面摸底，为3名创业青年争取了阿坝州青年创业奖扶资金共8万元，组织创业青年参与川西北生态示范区青年创新创业大赛，获得三等奖1名，优秀奖1名，并推荐1名创业青年参加全省创青春创新创业大赛，推荐2名创业青年参加全国创青年创新创业大赛；在团中央开展的青年创业10万+的工作中，率先完成工作任务；</w:t>
      </w:r>
      <w:r>
        <w:rPr>
          <w:rFonts w:hint="eastAsia" w:ascii="仿宋_GB2312" w:hAnsi="仿宋_GB2312" w:eastAsia="仿宋_GB2312" w:cs="仿宋_GB2312"/>
          <w:sz w:val="32"/>
          <w:szCs w:val="32"/>
        </w:rPr>
        <w:t>以“直播带货”形式助力脱贫攻坚，5月联合团顺庆区委开展“青春助农、甜享樱桃”对口帮扶活动，直播间总观看量达1.5万人次，成交2156单，销售樱桃6468斤，销售额258720元，8月举办“团团青创惠农计划”专场直播，销售松茸、蜂蜜、李子、花椒等产品，总观看量达4.2万人次，成交133单，销售额52620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）多方式搞好民族团结。</w:t>
      </w:r>
      <w:r>
        <w:rPr>
          <w:rFonts w:hint="eastAsia" w:ascii="仿宋_GB2312" w:eastAsia="仿宋_GB2312"/>
          <w:sz w:val="32"/>
          <w:szCs w:val="32"/>
        </w:rPr>
        <w:t>全力</w:t>
      </w:r>
      <w:r>
        <w:rPr>
          <w:rFonts w:hint="eastAsia" w:ascii="仿宋_GB2312" w:hAnsi="楷体" w:eastAsia="仿宋_GB2312" w:cs="楷体"/>
          <w:bCs/>
          <w:sz w:val="32"/>
          <w:szCs w:val="32"/>
        </w:rPr>
        <w:t>维护民族团结和社会和谐稳定，</w:t>
      </w:r>
      <w:r>
        <w:rPr>
          <w:rFonts w:hint="eastAsia" w:ascii="仿宋_GB2312" w:hAnsi="仿宋_GB2312" w:eastAsia="仿宋_GB2312" w:cs="仿宋_GB2312"/>
          <w:sz w:val="32"/>
          <w:szCs w:val="32"/>
        </w:rPr>
        <w:t>把反对民族分裂，维护祖国统一作为重要任务常抓不懈。切实加强民族关系协调，引导单位职工不断增强“共同团结进步、共同繁荣发展”的思想意识，进一步</w:t>
      </w:r>
      <w:r>
        <w:rPr>
          <w:rFonts w:hint="eastAsia" w:ascii="仿宋_GB2312" w:hAnsi="仿宋_GB2312" w:eastAsia="仿宋_GB2312" w:cs="仿宋_GB2312"/>
          <w:sz w:val="32"/>
          <w:szCs w:val="32"/>
          <w:lang w:eastAsia="zh-CN"/>
        </w:rPr>
        <w:t>铸牢</w:t>
      </w:r>
      <w:r>
        <w:rPr>
          <w:rFonts w:hint="eastAsia" w:ascii="仿宋_GB2312" w:hAnsi="仿宋_GB2312" w:eastAsia="仿宋_GB2312" w:cs="仿宋_GB2312"/>
          <w:sz w:val="32"/>
          <w:szCs w:val="32"/>
        </w:rPr>
        <w:t>“三个离不开”的思想观念。</w:t>
      </w:r>
      <w:r>
        <w:rPr>
          <w:rFonts w:hint="eastAsia" w:ascii="仿宋_GB2312" w:hAnsi="楷体" w:eastAsia="仿宋_GB2312" w:cs="楷体"/>
          <w:bCs/>
          <w:sz w:val="32"/>
          <w:szCs w:val="32"/>
        </w:rPr>
        <w:t>创建民族团结工作制度，</w:t>
      </w:r>
      <w:r>
        <w:rPr>
          <w:rFonts w:hint="eastAsia" w:ascii="仿宋_GB2312" w:hAnsi="仿宋_GB2312" w:eastAsia="仿宋_GB2312" w:cs="仿宋_GB2312"/>
          <w:sz w:val="32"/>
          <w:szCs w:val="32"/>
        </w:rPr>
        <w:t>定期召开民族团结专题会议，研究部署相关工作，将民族团结工作纳入工作计划并加以实施，民族团结工作领导小组负责整体工作的组织协调和管理考核。</w:t>
      </w:r>
      <w:r>
        <w:rPr>
          <w:rFonts w:hint="eastAsia" w:ascii="仿宋_GB2312" w:hAnsi="楷体" w:eastAsia="仿宋_GB2312" w:cs="楷体"/>
          <w:bCs/>
          <w:sz w:val="32"/>
          <w:szCs w:val="32"/>
        </w:rPr>
        <w:t>举办各种活动，增进交流、互助感情，</w:t>
      </w:r>
      <w:r>
        <w:rPr>
          <w:rFonts w:hint="eastAsia" w:ascii="仿宋_GB2312" w:hAnsi="仿宋_GB2312" w:eastAsia="仿宋_GB2312" w:cs="仿宋_GB2312"/>
          <w:sz w:val="32"/>
          <w:szCs w:val="32"/>
        </w:rPr>
        <w:t>引导职工充分尊重少数民族传统习俗，参加少数民族重点节日活动。9月24日上午9点团县委组织志愿者来到锅庄广场进行“</w:t>
      </w:r>
      <w:r>
        <w:rPr>
          <w:rFonts w:hint="eastAsia" w:ascii="仿宋_GB2312" w:hAnsi="仿宋_GB2312" w:eastAsia="仿宋_GB2312" w:cs="仿宋_GB2312"/>
          <w:sz w:val="32"/>
          <w:szCs w:val="32"/>
          <w:lang w:eastAsia="zh-CN"/>
        </w:rPr>
        <w:t>铸牢</w:t>
      </w:r>
      <w:r>
        <w:rPr>
          <w:rFonts w:hint="eastAsia" w:ascii="仿宋_GB2312" w:hAnsi="仿宋_GB2312" w:eastAsia="仿宋_GB2312" w:cs="仿宋_GB2312"/>
          <w:sz w:val="32"/>
          <w:szCs w:val="32"/>
        </w:rPr>
        <w:t>中华民族共同体意识，共建汶川无忧慢生活”主题宣传活动，共发放定制宣传手提袋200个、宣传单及宣传册600余份，进一步增强了青年群众民族团结进步意识，努力为建设三好两富小康汶川营造团结、和谐、发展的良好社会环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Arial"/>
          <w:b/>
          <w:color w:val="191919"/>
          <w:sz w:val="32"/>
          <w:szCs w:val="32"/>
        </w:rPr>
        <w:t>（</w:t>
      </w:r>
      <w:r>
        <w:rPr>
          <w:rFonts w:hint="eastAsia" w:ascii="楷体" w:hAnsi="楷体" w:eastAsia="楷体" w:cs="Arial"/>
          <w:b/>
          <w:color w:val="191919"/>
          <w:sz w:val="32"/>
          <w:szCs w:val="32"/>
          <w:lang w:val="en-US" w:eastAsia="zh-CN"/>
        </w:rPr>
        <w:t>4</w:t>
      </w:r>
      <w:r>
        <w:rPr>
          <w:rFonts w:hint="eastAsia" w:ascii="楷体" w:hAnsi="楷体" w:eastAsia="楷体" w:cs="Arial"/>
          <w:b/>
          <w:color w:val="191919"/>
          <w:sz w:val="32"/>
          <w:szCs w:val="32"/>
        </w:rPr>
        <w:t>）多活动创建文明城市。</w:t>
      </w:r>
      <w:r>
        <w:rPr>
          <w:rFonts w:hint="eastAsia" w:ascii="仿宋_GB2312" w:eastAsia="仿宋_GB2312"/>
          <w:sz w:val="32"/>
          <w:szCs w:val="32"/>
        </w:rPr>
        <w:t>为深化创建“四川省第五届文明城市”工作，营造文明城市创建氛围，</w:t>
      </w:r>
      <w:r>
        <w:rPr>
          <w:rFonts w:hint="eastAsia" w:ascii="仿宋_GB2312" w:hAnsi="仿宋_GB2312" w:eastAsia="仿宋_GB2312" w:cs="仿宋_GB2312"/>
          <w:color w:val="000000"/>
          <w:sz w:val="32"/>
          <w:szCs w:val="32"/>
          <w:shd w:val="clear" w:color="auto" w:fill="FFFFFF"/>
        </w:rPr>
        <w:t>结合“文明四风”建设及“书香汶川·全民阅读”工作，</w:t>
      </w:r>
      <w:r>
        <w:rPr>
          <w:rFonts w:hint="eastAsia" w:ascii="仿宋_GB2312" w:eastAsia="仿宋_GB2312"/>
          <w:sz w:val="32"/>
          <w:szCs w:val="32"/>
        </w:rPr>
        <w:t>团县委积极开展“文明城市·爱在社区”志愿服务活动，7月于南桥社区、阳光社区、桑坪社区共举办3期，</w:t>
      </w:r>
      <w:r>
        <w:rPr>
          <w:rFonts w:hint="eastAsia" w:ascii="仿宋_GB2312" w:hAnsi="仿宋_GB2312" w:eastAsia="仿宋_GB2312" w:cs="仿宋_GB2312"/>
          <w:color w:val="000000"/>
          <w:sz w:val="32"/>
          <w:szCs w:val="32"/>
          <w:shd w:val="clear" w:color="auto" w:fill="FFFFFF"/>
        </w:rPr>
        <w:t>以社区未成年人为主要对象，开展“文明城市”创建知识竞答、非遗文化体验、小小志愿者</w:t>
      </w:r>
      <w:r>
        <w:rPr>
          <w:rFonts w:hint="eastAsia" w:ascii="仿宋_GB2312" w:eastAsia="仿宋_GB2312"/>
          <w:sz w:val="32"/>
          <w:szCs w:val="32"/>
        </w:rPr>
        <w:t>“英雄故事会”、汶川县青少年宫志愿者服务驿站挂牌等内容，共300余名青少年和他们的父母参加；自7月以来团县委招募志愿者，牵头组织</w:t>
      </w:r>
      <w:r>
        <w:rPr>
          <w:rFonts w:hint="eastAsia" w:ascii="仿宋_GB2312" w:hAnsi="仿宋_GB2312" w:eastAsia="仿宋_GB2312" w:cs="仿宋_GB2312"/>
          <w:sz w:val="32"/>
          <w:szCs w:val="32"/>
        </w:rPr>
        <w:t>开展“Plogging”跑捡散步捡志愿服务活动，通过每天休息时间运动锻炼+环境整治的方式助力文明城市创建，维护县域环境清洁，截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目前参与人员达200余人；</w:t>
      </w:r>
      <w:r>
        <w:rPr>
          <w:rFonts w:hint="eastAsia" w:ascii="仿宋_GB2312" w:hAnsi="仿宋_GB2312" w:eastAsia="仿宋_GB2312" w:cs="仿宋_GB2312"/>
          <w:color w:val="000000"/>
          <w:sz w:val="32"/>
          <w:szCs w:val="32"/>
        </w:rPr>
        <w:t>大力推进“全域无垃圾”工作，组织志愿者在全县开展“周末卫生大扫除”活动，</w:t>
      </w:r>
      <w:r>
        <w:rPr>
          <w:rFonts w:hint="eastAsia" w:ascii="仿宋_GB2312" w:hAnsi="仿宋_GB2312" w:eastAsia="仿宋_GB2312" w:cs="仿宋_GB2312"/>
          <w:sz w:val="32"/>
          <w:szCs w:val="32"/>
        </w:rPr>
        <w:t>共发布132项志愿活动，参与人员达5520人次，志愿服务共计28306小时。</w:t>
      </w:r>
    </w:p>
    <w:p>
      <w:pPr>
        <w:pStyle w:val="2"/>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Arial"/>
          <w:b/>
          <w:color w:val="191919"/>
          <w:sz w:val="32"/>
          <w:szCs w:val="32"/>
        </w:rPr>
        <w:t>（</w:t>
      </w:r>
      <w:r>
        <w:rPr>
          <w:rFonts w:hint="eastAsia" w:ascii="楷体" w:hAnsi="楷体" w:eastAsia="楷体" w:cs="Arial"/>
          <w:b/>
          <w:color w:val="191919"/>
          <w:sz w:val="32"/>
          <w:szCs w:val="32"/>
          <w:lang w:val="en-US" w:eastAsia="zh-CN"/>
        </w:rPr>
        <w:t>5</w:t>
      </w:r>
      <w:r>
        <w:rPr>
          <w:rFonts w:hint="eastAsia" w:ascii="楷体" w:hAnsi="楷体" w:eastAsia="楷体" w:cs="Arial"/>
          <w:b/>
          <w:color w:val="191919"/>
          <w:sz w:val="32"/>
          <w:szCs w:val="32"/>
        </w:rPr>
        <w:t>）多平台加强青年交流。</w:t>
      </w:r>
      <w:r>
        <w:rPr>
          <w:rFonts w:hint="eastAsia" w:ascii="仿宋_GB2312" w:hAnsi="仿宋_GB2312" w:eastAsia="仿宋_GB2312" w:cs="仿宋_GB2312"/>
          <w:sz w:val="32"/>
          <w:szCs w:val="32"/>
        </w:rPr>
        <w:t>为深入贯彻落实《四川省中长期青年发展规划（2018-2025年）》，牢牢把握好党的青年群众工作主线，切实服务青年婚恋交友，丰富青年业余文化生活，引导青年树立文明、健康、理性的婚恋观，拓宽青年交友渠道，同时为充分整合资源，帮助青年人才扎根汶川、安居汶川，增强青年人才对汶川的归属感，9月联合县总工会、县妇联在漩口无忧谷开展了“相约无忧谷，缘来是你”单身青年职工联谊交友会，活动内容丰富，形式多样，包括室内游戏互动、篝火晚会、户外拓展等，通过前期广泛宣传共30余名优秀单身青年报名参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Arial"/>
          <w:color w:val="191919"/>
          <w:sz w:val="32"/>
          <w:szCs w:val="32"/>
        </w:rPr>
      </w:pPr>
      <w:r>
        <w:rPr>
          <w:rFonts w:hint="eastAsia" w:ascii="黑体" w:hAnsi="黑体" w:eastAsia="黑体" w:cs="Arial"/>
          <w:color w:val="191919"/>
          <w:sz w:val="32"/>
          <w:szCs w:val="32"/>
          <w:lang w:val="en-US" w:eastAsia="zh-CN"/>
        </w:rPr>
        <w:t>4</w:t>
      </w:r>
      <w:r>
        <w:rPr>
          <w:rFonts w:ascii="黑体" w:hAnsi="黑体" w:eastAsia="黑体" w:cs="Arial"/>
          <w:color w:val="191919"/>
          <w:sz w:val="32"/>
          <w:szCs w:val="32"/>
        </w:rPr>
        <w:t>、从严治团强队伍，内外兼修树形象、作表率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b/>
          <w:sz w:val="32"/>
          <w:szCs w:val="32"/>
        </w:rPr>
      </w:pPr>
      <w:r>
        <w:rPr>
          <w:rFonts w:hint="eastAsia" w:ascii="仿宋_GB2312" w:eastAsia="仿宋_GB2312"/>
          <w:sz w:val="32"/>
          <w:szCs w:val="32"/>
        </w:rPr>
        <w:t>团县委坚持质、量并举，牵头树立正确的思想、工作、学习和生活作风，为团的事业可持续发展奠定良好基础。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bCs/>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1</w:t>
      </w:r>
      <w:r>
        <w:rPr>
          <w:rFonts w:hint="eastAsia" w:ascii="楷体" w:hAnsi="楷体" w:eastAsia="楷体"/>
          <w:b/>
          <w:sz w:val="32"/>
          <w:szCs w:val="32"/>
        </w:rPr>
        <w:t>）</w:t>
      </w:r>
      <w:r>
        <w:rPr>
          <w:rFonts w:hint="eastAsia" w:ascii="楷体" w:hAnsi="楷体" w:eastAsia="楷体"/>
          <w:b/>
          <w:bCs/>
          <w:sz w:val="32"/>
          <w:szCs w:val="32"/>
        </w:rPr>
        <w:t>加强基层团组织规范化建设。</w:t>
      </w:r>
      <w:r>
        <w:rPr>
          <w:rFonts w:hint="eastAsia" w:ascii="仿宋_GB2312" w:eastAsia="仿宋_GB2312"/>
          <w:sz w:val="32"/>
          <w:szCs w:val="32"/>
        </w:rPr>
        <w:t>按照上级团委要求，严格规范团员发展，下发《关于规范团员发展程序的意见》，建立“一表一册一簿”管理台账，加强团员团籍管理，</w:t>
      </w:r>
      <w:r>
        <w:rPr>
          <w:rFonts w:hint="eastAsia" w:ascii="仿宋_GB2312" w:hAnsi="仿宋_GB2312" w:eastAsia="仿宋_GB2312" w:cs="仿宋_GB2312"/>
          <w:sz w:val="32"/>
          <w:szCs w:val="32"/>
        </w:rPr>
        <w:t>2020年新发展团员527人</w:t>
      </w:r>
      <w:r>
        <w:rPr>
          <w:rFonts w:hint="eastAsia" w:ascii="仿宋_GB2312" w:eastAsia="仿宋_GB2312"/>
          <w:sz w:val="32"/>
          <w:szCs w:val="32"/>
        </w:rPr>
        <w:t>。动态管理数据，实时调研更新，扩大有效覆盖，做好乡镇行政区划调整改革“后半篇”文章，积极推进“智慧团建”系统建设，截</w:t>
      </w:r>
      <w:r>
        <w:rPr>
          <w:rFonts w:hint="eastAsia" w:ascii="仿宋_GB2312" w:eastAsia="仿宋_GB2312"/>
          <w:sz w:val="32"/>
          <w:szCs w:val="32"/>
          <w:lang w:eastAsia="zh-CN"/>
        </w:rPr>
        <w:t>至</w:t>
      </w:r>
      <w:r>
        <w:rPr>
          <w:rFonts w:hint="eastAsia" w:ascii="仿宋_GB2312" w:eastAsia="仿宋_GB2312"/>
          <w:sz w:val="32"/>
          <w:szCs w:val="32"/>
        </w:rPr>
        <w:t>目前，全县青少年共计16375人，其中社会领域青年数2092人，学校领域青年数14283人（幼儿园2930人，小学生5250人，中学生2822人，高中生3281人）。</w:t>
      </w:r>
      <w:r>
        <w:rPr>
          <w:rFonts w:hint="eastAsia" w:ascii="仿宋_GB2312" w:hAnsi="仿宋_GB2312" w:eastAsia="仿宋_GB2312" w:cs="仿宋_GB2312"/>
          <w:sz w:val="32"/>
          <w:szCs w:val="32"/>
        </w:rPr>
        <w:t>有序推进对标定级，开展星级团建工作，建立基层团组织规范运行机制，</w:t>
      </w:r>
      <w:r>
        <w:rPr>
          <w:rFonts w:hint="eastAsia" w:ascii="仿宋_GB2312" w:eastAsia="仿宋_GB2312"/>
          <w:sz w:val="32"/>
          <w:szCs w:val="32"/>
        </w:rPr>
        <w:t>团县委共有下级组织311个，团委9个（其中乡镇团委7个），团总支2个，团支部225个（其中国有企业领域团支部1个，非公企业领域团支部3个，社会组织领域团支部2个，基层机关事业单位领域团支部21个，学校领域团支部124个），毕业生团组织70个，待接转团支部0个。全县共有团员4957人（其中学校领域团员数2371人，社会领域团员总数为2586个）。大力推行团干部直接联系青年制度，4月-5月，团县委分别赴各乡镇动员基层青年积极开展“青年大学习”，并举办了“绽放战疫青春·坚定制度自信”和“学习五四寄语精神·展现青春担当”主题团课活动7场，</w:t>
      </w:r>
      <w:r>
        <w:rPr>
          <w:rFonts w:hint="eastAsia" w:ascii="仿宋_GB2312" w:hAnsi="仿宋_GB2312" w:eastAsia="仿宋_GB2312" w:cs="仿宋_GB2312"/>
          <w:sz w:val="32"/>
          <w:szCs w:val="32"/>
        </w:rPr>
        <w:t>参与团员青年240余人，</w:t>
      </w:r>
      <w:r>
        <w:rPr>
          <w:rFonts w:hint="eastAsia" w:ascii="仿宋_GB2312" w:eastAsia="仿宋_GB2312"/>
          <w:sz w:val="32"/>
          <w:szCs w:val="32"/>
        </w:rPr>
        <w:t>落实了“三级团干抓支部”工作机制，全面培养各级团干部“站起来能讲、坐下来能写、沉下去能干”的能力；为深入学习贯彻习近平总书记关于青年工作的重要思想，进一步提升基层团委书记理论素养和业务能力，9月举办全县基层团委书记培训，7个镇、5所中学团委书记共计12人参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）扎实推进学校共青团改革。</w:t>
      </w:r>
      <w:r>
        <w:rPr>
          <w:rFonts w:hint="eastAsia" w:ascii="仿宋_GB2312" w:hAnsi="楷体" w:eastAsia="仿宋_GB2312" w:cs="楷体"/>
          <w:b/>
          <w:sz w:val="32"/>
          <w:szCs w:val="32"/>
        </w:rPr>
        <w:t>一是</w:t>
      </w:r>
      <w:r>
        <w:rPr>
          <w:rFonts w:hint="eastAsia" w:ascii="仿宋_GB2312" w:hAnsi="楷体" w:eastAsia="仿宋_GB2312" w:cs="楷体"/>
          <w:sz w:val="32"/>
          <w:szCs w:val="32"/>
        </w:rPr>
        <w:t>联合县教育局出台了《汶川县中学共青团改革实施意见》，按照党建带团建要求，形成了由党委书记负总责，分管领导牵头的组织领导建设，在党建考核中，提高了团建工作内容所占比例，制定并完善了基层团组织的考核标准，特别是完善团干部考核激励机制；</w:t>
      </w:r>
      <w:r>
        <w:rPr>
          <w:rFonts w:hint="eastAsia" w:ascii="仿宋_GB2312" w:hAnsi="楷体" w:eastAsia="仿宋_GB2312" w:cs="楷体"/>
          <w:b/>
          <w:sz w:val="32"/>
          <w:szCs w:val="32"/>
        </w:rPr>
        <w:t>二是</w:t>
      </w:r>
      <w:r>
        <w:rPr>
          <w:rFonts w:hint="eastAsia" w:ascii="仿宋_GB2312" w:hAnsi="楷体" w:eastAsia="仿宋_GB2312" w:cs="楷体"/>
          <w:sz w:val="32"/>
          <w:szCs w:val="32"/>
        </w:rPr>
        <w:t>强化团教协作，积极开展青少年活动。成立团教协作工作领导小组，负责对汶川县中学共青团改革工作及汶川县少先队改革工作实行统一领导；</w:t>
      </w:r>
      <w:r>
        <w:rPr>
          <w:rFonts w:hint="eastAsia" w:ascii="仿宋_GB2312" w:hAnsi="楷体" w:eastAsia="仿宋_GB2312" w:cs="楷体"/>
          <w:b/>
          <w:bCs/>
          <w:sz w:val="32"/>
          <w:szCs w:val="32"/>
        </w:rPr>
        <w:t>三是</w:t>
      </w:r>
      <w:r>
        <w:rPr>
          <w:rFonts w:hint="eastAsia" w:ascii="仿宋_GB2312" w:hAnsi="楷体" w:eastAsia="仿宋_GB2312" w:cs="楷体"/>
          <w:sz w:val="32"/>
          <w:szCs w:val="32"/>
        </w:rPr>
        <w:t>落实“推优入团”，经过团州委审核筛选，推立汶川中学、汶川七一映秀中学2所学校作为阿坝州“推优入团”试点学校，为我州团队衔接工作进行先期探索和经验积累；</w:t>
      </w:r>
      <w:r>
        <w:rPr>
          <w:rFonts w:hint="eastAsia" w:ascii="仿宋_GB2312" w:hAnsi="楷体" w:eastAsia="仿宋_GB2312" w:cs="楷体"/>
          <w:b/>
          <w:bCs/>
          <w:sz w:val="32"/>
          <w:szCs w:val="32"/>
        </w:rPr>
        <w:t>四是</w:t>
      </w:r>
      <w:r>
        <w:rPr>
          <w:rFonts w:hint="eastAsia" w:ascii="仿宋_GB2312" w:eastAsia="仿宋_GB2312"/>
          <w:sz w:val="32"/>
          <w:szCs w:val="32"/>
        </w:rPr>
        <w:t>在“五四”运动101周年之际，组织开展“学习寄语精神·展现青春担当”主题线上交流心得体会等网络话题互动活动30余次，让寄语精神在广大青年中内化于心、外化于行；</w:t>
      </w:r>
      <w:r>
        <w:rPr>
          <w:rFonts w:hint="eastAsia" w:ascii="仿宋_GB2312" w:eastAsia="仿宋_GB2312"/>
          <w:b/>
          <w:bCs/>
          <w:sz w:val="32"/>
          <w:szCs w:val="32"/>
        </w:rPr>
        <w:t>五是</w:t>
      </w:r>
      <w:r>
        <w:rPr>
          <w:rFonts w:hint="eastAsia" w:ascii="仿宋_GB2312" w:eastAsia="仿宋_GB2312"/>
          <w:bCs/>
          <w:sz w:val="32"/>
          <w:szCs w:val="32"/>
        </w:rPr>
        <w:t>推动</w:t>
      </w:r>
      <w:r>
        <w:rPr>
          <w:rFonts w:hint="eastAsia" w:ascii="仿宋_GB2312" w:eastAsia="仿宋_GB2312"/>
          <w:sz w:val="32"/>
          <w:szCs w:val="32"/>
        </w:rPr>
        <w:t>三大制度性文件落实。3月—5月，团县委、县少工委开展主题团（队）日、座谈等多种形式组织全体职工及全县少先队组织学习《关于加强新时代少先队辅导员队伍建设的意见》等三大制度性文件内容，并装订成册，发给各级少先队组织，传达贯彻文件精神；</w:t>
      </w:r>
      <w:r>
        <w:rPr>
          <w:rFonts w:hint="eastAsia" w:ascii="仿宋_GB2312" w:eastAsia="仿宋_GB2312"/>
          <w:b/>
          <w:bCs/>
          <w:sz w:val="32"/>
          <w:szCs w:val="32"/>
        </w:rPr>
        <w:t>六是</w:t>
      </w:r>
      <w:r>
        <w:rPr>
          <w:rFonts w:hint="eastAsia" w:ascii="仿宋_GB2312" w:eastAsia="仿宋_GB2312"/>
          <w:sz w:val="32"/>
          <w:szCs w:val="32"/>
        </w:rPr>
        <w:t>全面建立学校少工委。按照阿坝州少工委《关于规范学校少工委建设意见的通知》文件要求，2020年7月以来，我委立即动员全县所有中小学成立学校少工委，截</w:t>
      </w:r>
      <w:r>
        <w:rPr>
          <w:rFonts w:hint="eastAsia" w:ascii="仿宋_GB2312" w:eastAsia="仿宋_GB2312"/>
          <w:sz w:val="32"/>
          <w:szCs w:val="32"/>
          <w:lang w:eastAsia="zh-CN"/>
        </w:rPr>
        <w:t>至</w:t>
      </w:r>
      <w:r>
        <w:rPr>
          <w:rFonts w:hint="eastAsia" w:ascii="仿宋_GB2312" w:eastAsia="仿宋_GB2312"/>
          <w:sz w:val="32"/>
          <w:szCs w:val="32"/>
        </w:rPr>
        <w:t>目前汶川县所有中小学均已成立学校少工委。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3</w:t>
      </w:r>
      <w:r>
        <w:rPr>
          <w:rFonts w:hint="eastAsia" w:ascii="楷体" w:hAnsi="楷体" w:eastAsia="楷体"/>
          <w:b/>
          <w:sz w:val="32"/>
          <w:szCs w:val="32"/>
        </w:rPr>
        <w:t>）</w:t>
      </w:r>
      <w:r>
        <w:rPr>
          <w:rFonts w:hint="eastAsia" w:ascii="楷体" w:hAnsi="楷体" w:eastAsia="楷体" w:cs="楷体"/>
          <w:b/>
          <w:bCs/>
          <w:sz w:val="32"/>
          <w:szCs w:val="32"/>
        </w:rPr>
        <w:t>树青少年先进典型，做好青少年表率。</w:t>
      </w:r>
      <w:r>
        <w:rPr>
          <w:rFonts w:hint="eastAsia" w:ascii="仿宋_GB2312" w:eastAsia="仿宋_GB2312"/>
          <w:b/>
          <w:sz w:val="32"/>
          <w:szCs w:val="32"/>
        </w:rPr>
        <w:t>一是</w:t>
      </w:r>
      <w:r>
        <w:rPr>
          <w:rFonts w:hint="eastAsia" w:ascii="仿宋_GB2312" w:eastAsia="仿宋_GB2312"/>
          <w:sz w:val="32"/>
          <w:szCs w:val="32"/>
        </w:rPr>
        <w:t>充分发挥团属微博、微信等新媒体广覆盖、快传播的矩阵优势，向广大青少年宣传贯彻党的十九大、团的十八大精神，组织各级团组织围绕习近平总书记五四寄语精神，广泛开展形式丰富的主题宣传。通过“青年之家”学习社线上报名、线下活动和学习的形式，认真组织开展青年大学习活动，每周排名在全州范围内靠前；</w:t>
      </w:r>
      <w:r>
        <w:rPr>
          <w:rFonts w:hint="eastAsia" w:ascii="仿宋_GB2312" w:eastAsia="仿宋_GB2312"/>
          <w:b/>
          <w:sz w:val="32"/>
          <w:szCs w:val="32"/>
        </w:rPr>
        <w:t>二是</w:t>
      </w:r>
      <w:r>
        <w:rPr>
          <w:rFonts w:hint="eastAsia" w:ascii="仿宋_GB2312" w:eastAsia="仿宋_GB2312"/>
          <w:sz w:val="32"/>
          <w:szCs w:val="32"/>
        </w:rPr>
        <w:t>组织成立青年宣讲团，动员各级团组织充分发挥青年典型的榜样示范作用，坚持用身边人讲述身边事、用身边人影响身边人，4月23日，团县委特别邀请了抗疫巾帼英雄、青年宣讲团讲师成员佘沙走进映秀中学讲授一堂特殊的团课，向全县青年及少先队员分享她的抗疫历程，上千名青年团员参加；</w:t>
      </w:r>
      <w:r>
        <w:rPr>
          <w:rFonts w:hint="eastAsia" w:ascii="仿宋_GB2312" w:eastAsia="仿宋_GB2312"/>
          <w:b/>
          <w:sz w:val="32"/>
          <w:szCs w:val="32"/>
        </w:rPr>
        <w:t>三是</w:t>
      </w:r>
      <w:r>
        <w:rPr>
          <w:rFonts w:hint="eastAsia" w:ascii="仿宋_GB2312" w:eastAsia="仿宋_GB2312"/>
          <w:sz w:val="32"/>
          <w:szCs w:val="32"/>
        </w:rPr>
        <w:t>开展系列评优表扬活动，团县委在2020年五四期间评选汶川县2019年度优秀共青团员38名，优秀共青团干部22名，五四红旗团委（总支、团支部）18个，优秀青年志愿者29名。在表彰县级优秀时，团县委书记杨浠荣获四川省优秀团干称号，我县获得2名州级优秀共青团员荣誉称号、1名州级五四红旗团委荣誉称号，1名州级五四红旗团支部荣誉称号，在全县各级团组织和团员青年中努力营造了崇尚先进、学习先进、争当先进的良好氛围；在第71个“六·一”国际儿童节，团县委表彰了2019年度汶川县优秀少先队员50名、优秀少先队辅导员20名、优秀少先队大队和学校6个、优秀少先队中队20个。</w:t>
      </w:r>
    </w:p>
    <w:p>
      <w:pPr>
        <w:spacing w:line="560" w:lineRule="exact"/>
        <w:ind w:firstLine="643" w:firstLineChars="200"/>
        <w:rPr>
          <w:rFonts w:ascii="仿宋_GB2312" w:hAnsi="楷体_GB2312" w:eastAsia="仿宋_GB2312" w:cs="楷体_GB2312"/>
          <w:b/>
          <w:bCs/>
          <w:sz w:val="32"/>
          <w:szCs w:val="32"/>
        </w:rPr>
      </w:pPr>
    </w:p>
    <w:p>
      <w:pPr>
        <w:pStyle w:val="7"/>
        <w:adjustRightInd w:val="0"/>
        <w:snapToGrid w:val="0"/>
        <w:spacing w:beforeLines="0" w:line="560" w:lineRule="exact"/>
        <w:ind w:firstLine="600" w:firstLineChars="200"/>
        <w:rPr>
          <w:rFonts w:hint="eastAsia" w:ascii="黑体" w:eastAsia="黑体"/>
          <w:color w:val="000000"/>
        </w:rPr>
      </w:pPr>
    </w:p>
    <w:p>
      <w:pPr>
        <w:pStyle w:val="7"/>
        <w:adjustRightInd w:val="0"/>
        <w:snapToGrid w:val="0"/>
        <w:spacing w:beforeLines="0" w:line="560" w:lineRule="exact"/>
        <w:ind w:firstLine="600" w:firstLineChars="200"/>
        <w:rPr>
          <w:rStyle w:val="28"/>
          <w:b w:val="0"/>
          <w:bCs w:val="0"/>
        </w:rPr>
      </w:pPr>
      <w:r>
        <w:rPr>
          <w:rFonts w:hint="eastAsia" w:ascii="黑体" w:eastAsia="黑体"/>
          <w:color w:val="000000"/>
        </w:rPr>
        <w:t>二、</w:t>
      </w:r>
      <w:r>
        <w:rPr>
          <w:rFonts w:hint="eastAsia" w:ascii="黑体" w:hAnsi="黑体" w:eastAsia="黑体"/>
          <w:color w:val="000000"/>
        </w:rPr>
        <w:t>机</w:t>
      </w:r>
      <w:r>
        <w:rPr>
          <w:rStyle w:val="28"/>
          <w:rFonts w:hint="eastAsia" w:ascii="黑体" w:hAnsi="黑体" w:eastAsia="黑体"/>
          <w:b w:val="0"/>
          <w:bCs w:val="0"/>
        </w:rPr>
        <w:t>构设置</w:t>
      </w:r>
      <w:bookmarkEnd w:id="18"/>
      <w:bookmarkEnd w:id="1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团县委下属二级单位2个，其中行政单位0个，参照公务员法管理的事业单位</w:t>
      </w:r>
      <w:r>
        <w:rPr>
          <w:rFonts w:hint="eastAsia" w:ascii="仿宋_GB2312" w:hAnsi="仿宋_GB2312" w:eastAsia="仿宋_GB2312" w:cs="仿宋_GB2312"/>
          <w:bCs/>
          <w:sz w:val="32"/>
          <w:szCs w:val="32"/>
        </w:rPr>
        <w:t>0</w:t>
      </w:r>
      <w:r>
        <w:rPr>
          <w:rFonts w:hint="eastAsia" w:ascii="仿宋_GB2312" w:hAnsi="仿宋_GB2312" w:eastAsia="仿宋_GB2312" w:cs="仿宋_GB2312"/>
          <w:sz w:val="32"/>
          <w:szCs w:val="32"/>
        </w:rPr>
        <w:t>个，其他事业单位2个。</w:t>
      </w:r>
    </w:p>
    <w:p>
      <w:pPr>
        <w:widowControl/>
        <w:spacing w:line="560" w:lineRule="exact"/>
        <w:ind w:firstLine="640" w:firstLineChars="200"/>
        <w:rPr>
          <w:rFonts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纳入团县委20</w:t>
      </w:r>
      <w:r>
        <w:rPr>
          <w:rFonts w:hint="eastAsia" w:ascii="仿宋_GB2312" w:hAnsi="仿宋_GB2312" w:eastAsia="仿宋_GB2312" w:cs="仿宋_GB2312"/>
          <w:kern w:val="10"/>
          <w:sz w:val="32"/>
          <w:szCs w:val="32"/>
          <w:lang w:val="en-US" w:eastAsia="zh-CN"/>
        </w:rPr>
        <w:t>20</w:t>
      </w:r>
      <w:r>
        <w:rPr>
          <w:rFonts w:hint="eastAsia" w:ascii="仿宋_GB2312" w:hAnsi="仿宋_GB2312" w:eastAsia="仿宋_GB2312" w:cs="仿宋_GB2312"/>
          <w:kern w:val="10"/>
          <w:sz w:val="32"/>
          <w:szCs w:val="32"/>
        </w:rPr>
        <w:t>年度部门决算编制范围的二级预算单位包括：汶川县青少年宫和汶川青少年活动中心。</w:t>
      </w:r>
    </w:p>
    <w:p>
      <w:pPr>
        <w:pStyle w:val="3"/>
        <w:spacing w:line="560" w:lineRule="exact"/>
        <w:ind w:right="440"/>
        <w:jc w:val="right"/>
        <w:rPr>
          <w:rFonts w:ascii="黑体" w:hAnsi="黑体" w:eastAsia="黑体"/>
          <w:b w:val="0"/>
          <w:bCs w:val="0"/>
        </w:rPr>
      </w:pPr>
      <w:bookmarkStart w:id="20" w:name="_Toc15377204"/>
      <w:bookmarkStart w:id="21" w:name="_Toc15396602"/>
      <w:r>
        <w:rPr>
          <w:rFonts w:hint="eastAsia" w:ascii="方正小标宋简体" w:hAnsi="方正小标宋简体" w:eastAsia="方正小标宋简体" w:cs="方正小标宋简体"/>
          <w:b w:val="0"/>
          <w:color w:val="000000"/>
        </w:rPr>
        <w:t>第二部分</w:t>
      </w:r>
      <w:r>
        <w:rPr>
          <w:rFonts w:hint="eastAsia" w:ascii="方正小标宋简体" w:hAnsi="方正小标宋简体" w:eastAsia="方正小标宋简体" w:cs="方正小标宋简体"/>
          <w:color w:val="000000"/>
        </w:rPr>
        <w:t xml:space="preserve"> </w:t>
      </w:r>
      <w:r>
        <w:rPr>
          <w:rStyle w:val="27"/>
          <w:rFonts w:hint="eastAsia" w:ascii="方正小标宋简体" w:hAnsi="方正小标宋简体" w:eastAsia="方正小标宋简体" w:cs="方正小标宋简体"/>
          <w:b w:val="0"/>
          <w:bCs w:val="0"/>
        </w:rPr>
        <w:t>20</w:t>
      </w:r>
      <w:r>
        <w:rPr>
          <w:rStyle w:val="27"/>
          <w:rFonts w:hint="eastAsia" w:ascii="方正小标宋简体" w:hAnsi="方正小标宋简体" w:eastAsia="方正小标宋简体" w:cs="方正小标宋简体"/>
          <w:b w:val="0"/>
          <w:bCs w:val="0"/>
          <w:lang w:val="en-US" w:eastAsia="zh-CN"/>
        </w:rPr>
        <w:t>20</w:t>
      </w:r>
      <w:r>
        <w:rPr>
          <w:rStyle w:val="27"/>
          <w:rFonts w:hint="eastAsia" w:ascii="方正小标宋简体" w:hAnsi="方正小标宋简体" w:eastAsia="方正小标宋简体" w:cs="方正小标宋简体"/>
          <w:b w:val="0"/>
          <w:bCs w:val="0"/>
        </w:rPr>
        <w:t>年度部门决算情况说明</w:t>
      </w:r>
      <w:bookmarkEnd w:id="20"/>
      <w:bookmarkEnd w:id="21"/>
    </w:p>
    <w:p>
      <w:pPr>
        <w:pStyle w:val="26"/>
        <w:spacing w:line="560" w:lineRule="exact"/>
        <w:ind w:firstLine="640"/>
        <w:rPr>
          <w:rStyle w:val="28"/>
          <w:rFonts w:ascii="黑体" w:hAnsi="黑体" w:eastAsia="黑体"/>
          <w:b w:val="0"/>
        </w:rPr>
      </w:pPr>
      <w:bookmarkStart w:id="22" w:name="_Toc15377205"/>
      <w:bookmarkStart w:id="23" w:name="_Toc15396603"/>
      <w:r>
        <w:rPr>
          <w:rFonts w:hint="eastAsia" w:ascii="黑体" w:hAnsi="黑体" w:eastAsia="黑体"/>
          <w:color w:val="000000"/>
          <w:sz w:val="32"/>
          <w:szCs w:val="32"/>
        </w:rPr>
        <w:t>一、收</w:t>
      </w:r>
      <w:r>
        <w:rPr>
          <w:rStyle w:val="28"/>
          <w:rFonts w:hint="eastAsia" w:ascii="黑体" w:hAnsi="黑体" w:eastAsia="黑体"/>
          <w:b w:val="0"/>
        </w:rPr>
        <w:t>入支出决算总体情况说明</w:t>
      </w:r>
      <w:bookmarkEnd w:id="22"/>
      <w:bookmarkEnd w:id="2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年度收入总计18</w:t>
      </w:r>
      <w:r>
        <w:rPr>
          <w:rFonts w:hint="eastAsia" w:ascii="仿宋_GB2312" w:hAnsi="仿宋_GB2312" w:eastAsia="仿宋_GB2312" w:cs="仿宋_GB2312"/>
          <w:color w:val="000000"/>
          <w:sz w:val="32"/>
          <w:szCs w:val="32"/>
          <w:lang w:val="en-US" w:eastAsia="zh-CN"/>
        </w:rPr>
        <w:t>8.68</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年183.71万元相比，收入总计增加</w:t>
      </w:r>
      <w:r>
        <w:rPr>
          <w:rFonts w:hint="eastAsia" w:ascii="仿宋_GB2312" w:hAnsi="仿宋_GB2312" w:eastAsia="仿宋_GB2312" w:cs="仿宋_GB2312"/>
          <w:color w:val="000000"/>
          <w:sz w:val="32"/>
          <w:szCs w:val="32"/>
          <w:lang w:val="en-US" w:eastAsia="zh-CN"/>
        </w:rPr>
        <w:t>4.97</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241.75</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年216.07万元相比，支出总计增加</w:t>
      </w:r>
      <w:r>
        <w:rPr>
          <w:rFonts w:hint="eastAsia" w:ascii="仿宋_GB2312" w:hAnsi="仿宋_GB2312" w:eastAsia="仿宋_GB2312" w:cs="仿宋_GB2312"/>
          <w:color w:val="000000"/>
          <w:sz w:val="32"/>
          <w:szCs w:val="32"/>
          <w:lang w:val="en-US" w:eastAsia="zh-CN"/>
        </w:rPr>
        <w:t>25.68</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11.89</w:t>
      </w:r>
      <w:r>
        <w:rPr>
          <w:rFonts w:hint="eastAsia" w:ascii="仿宋_GB2312" w:hAnsi="仿宋_GB2312" w:eastAsia="仿宋_GB2312" w:cs="仿宋_GB2312"/>
          <w:color w:val="000000"/>
          <w:sz w:val="32"/>
          <w:szCs w:val="32"/>
        </w:rPr>
        <w:t>%。收支总额变动主要原因是20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年度青</w:t>
      </w:r>
      <w:r>
        <w:rPr>
          <w:rFonts w:hint="eastAsia" w:ascii="仿宋_GB2312" w:hAnsi="仿宋_GB2312" w:eastAsia="仿宋_GB2312" w:cs="仿宋_GB2312"/>
          <w:bCs/>
          <w:sz w:val="32"/>
          <w:szCs w:val="32"/>
          <w:lang w:val="en-US" w:eastAsia="zh-CN"/>
        </w:rPr>
        <w:t>少年工作经费增加</w:t>
      </w:r>
      <w:r>
        <w:rPr>
          <w:rFonts w:hint="eastAsia" w:ascii="仿宋_GB2312" w:hAnsi="仿宋_GB2312" w:eastAsia="仿宋_GB2312" w:cs="仿宋_GB2312"/>
          <w:color w:val="000000"/>
          <w:sz w:val="32"/>
          <w:szCs w:val="32"/>
        </w:rPr>
        <w:t>。</w:t>
      </w:r>
    </w:p>
    <w:p>
      <w:pPr>
        <w:spacing w:line="24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drawing>
          <wp:inline distT="0" distB="0" distL="114300" distR="114300">
            <wp:extent cx="4584065" cy="3392170"/>
            <wp:effectExtent l="0" t="0" r="6985" b="1778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7"/>
                    <a:stretch>
                      <a:fillRect/>
                    </a:stretch>
                  </pic:blipFill>
                  <pic:spPr>
                    <a:xfrm>
                      <a:off x="0" y="0"/>
                      <a:ext cx="4584065" cy="3392170"/>
                    </a:xfrm>
                    <a:prstGeom prst="rect">
                      <a:avLst/>
                    </a:prstGeom>
                  </pic:spPr>
                </pic:pic>
              </a:graphicData>
            </a:graphic>
          </wp:inline>
        </w:drawing>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图1</w:t>
      </w:r>
    </w:p>
    <w:p>
      <w:pPr>
        <w:pStyle w:val="26"/>
        <w:spacing w:line="560" w:lineRule="exact"/>
        <w:ind w:left="0" w:leftChars="0" w:firstLine="0" w:firstLineChars="0"/>
        <w:rPr>
          <w:rStyle w:val="28"/>
          <w:rFonts w:ascii="黑体" w:hAnsi="黑体" w:eastAsia="黑体"/>
          <w:b w:val="0"/>
        </w:rPr>
      </w:pPr>
      <w:bookmarkStart w:id="24" w:name="_Toc15396604"/>
      <w:bookmarkStart w:id="25" w:name="_Toc15377206"/>
      <w:r>
        <w:rPr>
          <w:rFonts w:hint="eastAsia" w:ascii="黑体" w:hAnsi="黑体" w:eastAsia="黑体"/>
          <w:color w:val="000000"/>
          <w:sz w:val="32"/>
          <w:szCs w:val="32"/>
        </w:rPr>
        <w:t>二、收</w:t>
      </w:r>
      <w:r>
        <w:rPr>
          <w:rStyle w:val="28"/>
          <w:rFonts w:hint="eastAsia" w:ascii="黑体" w:hAnsi="黑体" w:eastAsia="黑体"/>
          <w:b w:val="0"/>
        </w:rPr>
        <w:t>入决算情况说明</w:t>
      </w:r>
      <w:bookmarkEnd w:id="24"/>
      <w:bookmarkEnd w:id="25"/>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年本年收入合计18</w:t>
      </w:r>
      <w:r>
        <w:rPr>
          <w:rFonts w:hint="eastAsia" w:ascii="仿宋_GB2312" w:hAnsi="仿宋_GB2312" w:eastAsia="仿宋_GB2312" w:cs="仿宋_GB2312"/>
          <w:color w:val="000000"/>
          <w:sz w:val="32"/>
          <w:szCs w:val="32"/>
          <w:lang w:val="en-US" w:eastAsia="zh-CN"/>
        </w:rPr>
        <w:t>8.68</w:t>
      </w:r>
      <w:r>
        <w:rPr>
          <w:rFonts w:hint="eastAsia" w:ascii="仿宋_GB2312" w:hAnsi="仿宋_GB2312" w:eastAsia="仿宋_GB2312" w:cs="仿宋_GB2312"/>
          <w:color w:val="000000"/>
          <w:sz w:val="32"/>
          <w:szCs w:val="32"/>
        </w:rPr>
        <w:t>万元，其中：一般公共预算财政拨款收入18</w:t>
      </w:r>
      <w:r>
        <w:rPr>
          <w:rFonts w:hint="eastAsia" w:ascii="仿宋_GB2312" w:hAnsi="仿宋_GB2312" w:eastAsia="仿宋_GB2312" w:cs="仿宋_GB2312"/>
          <w:color w:val="000000"/>
          <w:sz w:val="32"/>
          <w:szCs w:val="32"/>
          <w:lang w:val="en-US" w:eastAsia="zh-CN"/>
        </w:rPr>
        <w:t>8.68</w:t>
      </w:r>
      <w:r>
        <w:rPr>
          <w:rFonts w:hint="eastAsia" w:ascii="仿宋_GB2312" w:hAnsi="仿宋_GB2312" w:eastAsia="仿宋_GB2312" w:cs="仿宋_GB2312"/>
          <w:color w:val="000000"/>
          <w:sz w:val="32"/>
          <w:szCs w:val="32"/>
        </w:rPr>
        <w:t>万元，占100%；其他收入0万元，占0%。</w:t>
      </w:r>
    </w:p>
    <w:p>
      <w:pPr>
        <w:spacing w:line="24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pPr>
      <w:r>
        <w:rPr>
          <w:rFonts w:hint="eastAsia" w:ascii="仿宋_GB2312" w:hAnsi="仿宋_GB2312" w:eastAsia="仿宋_GB2312" w:cs="仿宋_GB2312"/>
          <w:color w:val="000000" w:themeColor="text1"/>
          <w:sz w:val="32"/>
          <w:szCs w:val="32"/>
          <w:lang w:eastAsia="zh-CN"/>
          <w14:textFill>
            <w14:solidFill>
              <w14:schemeClr w14:val="tx1"/>
            </w14:solidFill>
          </w14:textFill>
        </w:rPr>
        <w:drawing>
          <wp:inline distT="0" distB="0" distL="114300" distR="114300">
            <wp:extent cx="4768850" cy="2499360"/>
            <wp:effectExtent l="0" t="0" r="12700" b="1524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8"/>
                    <a:stretch>
                      <a:fillRect/>
                    </a:stretch>
                  </pic:blipFill>
                  <pic:spPr>
                    <a:xfrm>
                      <a:off x="0" y="0"/>
                      <a:ext cx="4768850" cy="2499360"/>
                    </a:xfrm>
                    <a:prstGeom prst="rect">
                      <a:avLst/>
                    </a:prstGeom>
                  </pic:spPr>
                </pic:pic>
              </a:graphicData>
            </a:graphic>
          </wp:inline>
        </w:drawing>
      </w:r>
    </w:p>
    <w:p>
      <w:pPr>
        <w:spacing w:line="560" w:lineRule="exact"/>
        <w:ind w:firstLine="640" w:firstLineChars="200"/>
        <w:jc w:val="center"/>
        <w:rPr>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图2</w:t>
      </w:r>
    </w:p>
    <w:p>
      <w:pPr>
        <w:pStyle w:val="26"/>
        <w:spacing w:line="560" w:lineRule="exact"/>
        <w:ind w:firstLine="640"/>
        <w:rPr>
          <w:rStyle w:val="28"/>
          <w:rFonts w:ascii="黑体" w:hAnsi="黑体" w:eastAsia="黑体"/>
          <w:b w:val="0"/>
        </w:rPr>
      </w:pPr>
      <w:bookmarkStart w:id="26" w:name="_Toc15396605"/>
      <w:bookmarkStart w:id="27" w:name="_Toc15377207"/>
      <w:r>
        <w:rPr>
          <w:rFonts w:hint="eastAsia" w:ascii="黑体" w:hAnsi="黑体" w:eastAsia="黑体"/>
          <w:color w:val="000000"/>
          <w:sz w:val="32"/>
          <w:szCs w:val="32"/>
        </w:rPr>
        <w:t>三、支</w:t>
      </w:r>
      <w:r>
        <w:rPr>
          <w:rStyle w:val="28"/>
          <w:rFonts w:hint="eastAsia" w:ascii="黑体" w:hAnsi="黑体" w:eastAsia="黑体"/>
          <w:b w:val="0"/>
        </w:rPr>
        <w:t>出决算情况说明</w:t>
      </w:r>
      <w:bookmarkEnd w:id="26"/>
      <w:bookmarkEnd w:id="27"/>
    </w:p>
    <w:p>
      <w:pPr>
        <w:spacing w:line="560" w:lineRule="exact"/>
        <w:ind w:firstLine="640" w:firstLineChars="200"/>
        <w:rPr>
          <w:rFonts w:hint="eastAsia" w:eastAsia="仿宋_GB2312"/>
          <w:lang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241.75</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128.34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53.09</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113.41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46.91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24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drawing>
          <wp:inline distT="0" distB="0" distL="114300" distR="114300">
            <wp:extent cx="4584065" cy="2755265"/>
            <wp:effectExtent l="0" t="0" r="6985" b="6985"/>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4"/>
                    <pic:cNvPicPr>
                      <a:picLocks noChangeAspect="1"/>
                    </pic:cNvPicPr>
                  </pic:nvPicPr>
                  <pic:blipFill>
                    <a:blip r:embed="rId9"/>
                    <a:stretch>
                      <a:fillRect/>
                    </a:stretch>
                  </pic:blipFill>
                  <pic:spPr>
                    <a:xfrm>
                      <a:off x="0" y="0"/>
                      <a:ext cx="4584065" cy="2755265"/>
                    </a:xfrm>
                    <a:prstGeom prst="rect">
                      <a:avLst/>
                    </a:prstGeom>
                  </pic:spPr>
                </pic:pic>
              </a:graphicData>
            </a:graphic>
          </wp:inline>
        </w:drawing>
      </w:r>
    </w:p>
    <w:p>
      <w:pPr>
        <w:pStyle w:val="2"/>
      </w:pPr>
    </w:p>
    <w:p>
      <w:pPr>
        <w:spacing w:line="560" w:lineRule="exact"/>
        <w:jc w:val="center"/>
      </w:pPr>
      <w:r>
        <w:rPr>
          <w:rFonts w:hint="eastAsia" w:ascii="仿宋_GB2312" w:hAnsi="仿宋_GB2312" w:eastAsia="仿宋_GB2312" w:cs="仿宋_GB2312"/>
          <w:color w:val="000000" w:themeColor="text1"/>
          <w:sz w:val="28"/>
          <w:szCs w:val="28"/>
          <w14:textFill>
            <w14:solidFill>
              <w14:schemeClr w14:val="tx1"/>
            </w14:solidFill>
          </w14:textFill>
        </w:rPr>
        <w:t>图3</w:t>
      </w:r>
    </w:p>
    <w:p>
      <w:pPr>
        <w:spacing w:line="560" w:lineRule="exact"/>
        <w:ind w:firstLine="640" w:firstLineChars="200"/>
        <w:rPr>
          <w:rStyle w:val="28"/>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28"/>
      <w:bookmarkEnd w:id="29"/>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年财政拨款收入18</w:t>
      </w:r>
      <w:r>
        <w:rPr>
          <w:rFonts w:hint="eastAsia" w:ascii="仿宋_GB2312" w:hAnsi="仿宋_GB2312" w:eastAsia="仿宋_GB2312" w:cs="仿宋_GB2312"/>
          <w:color w:val="000000"/>
          <w:sz w:val="32"/>
          <w:szCs w:val="32"/>
          <w:lang w:val="en-US" w:eastAsia="zh-CN"/>
        </w:rPr>
        <w:t>8.68</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183.71</w:t>
      </w:r>
      <w:r>
        <w:rPr>
          <w:rFonts w:hint="eastAsia" w:ascii="仿宋_GB2312" w:hAnsi="仿宋_GB2312" w:eastAsia="仿宋_GB2312" w:cs="仿宋_GB2312"/>
          <w:color w:val="000000"/>
          <w:sz w:val="32"/>
          <w:szCs w:val="32"/>
        </w:rPr>
        <w:t>相比，收入增加</w:t>
      </w:r>
      <w:r>
        <w:rPr>
          <w:rFonts w:hint="eastAsia" w:ascii="仿宋_GB2312" w:hAnsi="仿宋_GB2312" w:eastAsia="仿宋_GB2312" w:cs="仿宋_GB2312"/>
          <w:color w:val="000000"/>
          <w:sz w:val="32"/>
          <w:szCs w:val="32"/>
          <w:lang w:val="en-US" w:eastAsia="zh-CN"/>
        </w:rPr>
        <w:t>4.97</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年度财政拨款支出</w:t>
      </w:r>
      <w:r>
        <w:rPr>
          <w:rFonts w:hint="eastAsia" w:ascii="仿宋_GB2312" w:hAnsi="仿宋_GB2312" w:eastAsia="仿宋_GB2312" w:cs="仿宋_GB2312"/>
          <w:color w:val="000000"/>
          <w:sz w:val="32"/>
          <w:szCs w:val="32"/>
          <w:lang w:val="en-US" w:eastAsia="zh-CN"/>
        </w:rPr>
        <w:t>241.75</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216.07</w:t>
      </w:r>
      <w:r>
        <w:rPr>
          <w:rFonts w:hint="eastAsia" w:ascii="仿宋_GB2312" w:hAnsi="仿宋_GB2312" w:eastAsia="仿宋_GB2312" w:cs="仿宋_GB2312"/>
          <w:color w:val="000000"/>
          <w:sz w:val="32"/>
          <w:szCs w:val="32"/>
        </w:rPr>
        <w:t>相比，支出总计增加</w:t>
      </w:r>
      <w:r>
        <w:rPr>
          <w:rFonts w:hint="eastAsia" w:ascii="仿宋_GB2312" w:hAnsi="仿宋_GB2312" w:eastAsia="仿宋_GB2312" w:cs="仿宋_GB2312"/>
          <w:color w:val="000000"/>
          <w:sz w:val="32"/>
          <w:szCs w:val="32"/>
          <w:lang w:val="en-US" w:eastAsia="zh-CN"/>
        </w:rPr>
        <w:t>25.68</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11.89</w:t>
      </w:r>
      <w:r>
        <w:rPr>
          <w:rFonts w:hint="eastAsia" w:ascii="仿宋_GB2312" w:hAnsi="仿宋_GB2312" w:eastAsia="仿宋_GB2312" w:cs="仿宋_GB2312"/>
          <w:color w:val="000000"/>
          <w:sz w:val="32"/>
          <w:szCs w:val="32"/>
        </w:rPr>
        <w:t>%。收支总额变动主要原因是20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年度青少年相关活动开展相对增加，费用相对增加</w:t>
      </w:r>
      <w:r>
        <w:rPr>
          <w:rFonts w:hint="eastAsia" w:ascii="仿宋_GB2312" w:hAnsi="仿宋_GB2312" w:eastAsia="仿宋_GB2312" w:cs="仿宋_GB2312"/>
          <w:color w:val="000000"/>
          <w:sz w:val="32"/>
          <w:szCs w:val="32"/>
          <w:lang w:eastAsia="zh-CN"/>
        </w:rPr>
        <w:t>以及财返支出增加</w:t>
      </w:r>
      <w:r>
        <w:rPr>
          <w:rFonts w:hint="eastAsia" w:ascii="仿宋_GB2312" w:hAnsi="仿宋_GB2312" w:eastAsia="仿宋_GB2312" w:cs="仿宋_GB2312"/>
          <w:color w:val="000000"/>
          <w:sz w:val="32"/>
          <w:szCs w:val="32"/>
        </w:rPr>
        <w:t>。</w:t>
      </w:r>
    </w:p>
    <w:p>
      <w:pPr>
        <w:spacing w:line="240" w:lineRule="auto"/>
        <w:ind w:firstLine="560" w:firstLineChars="20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drawing>
          <wp:inline distT="0" distB="0" distL="114300" distR="114300">
            <wp:extent cx="4584065" cy="2755265"/>
            <wp:effectExtent l="0" t="0" r="6985" b="6985"/>
            <wp:docPr id="6" name="图片 6"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5"/>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240" w:lineRule="auto"/>
        <w:ind w:firstLine="560" w:firstLineChars="20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图4</w:t>
      </w:r>
    </w:p>
    <w:p/>
    <w:p>
      <w:pPr>
        <w:spacing w:line="560" w:lineRule="exact"/>
        <w:ind w:firstLine="640" w:firstLineChars="200"/>
        <w:rPr>
          <w:rStyle w:val="28"/>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0"/>
      <w:bookmarkEnd w:id="31"/>
    </w:p>
    <w:p>
      <w:pPr>
        <w:spacing w:line="560" w:lineRule="exact"/>
        <w:ind w:firstLine="643" w:firstLineChars="200"/>
        <w:rPr>
          <w:rFonts w:ascii="楷体" w:hAnsi="楷体" w:eastAsia="楷体" w:cs="楷体"/>
          <w:b/>
          <w:color w:val="000000"/>
          <w:sz w:val="32"/>
          <w:szCs w:val="32"/>
        </w:rPr>
      </w:pPr>
      <w:bookmarkStart w:id="32" w:name="_Toc15377210"/>
      <w:r>
        <w:rPr>
          <w:rFonts w:hint="eastAsia" w:ascii="楷体" w:hAnsi="楷体" w:eastAsia="楷体" w:cs="楷体"/>
          <w:b/>
          <w:color w:val="000000"/>
          <w:sz w:val="32"/>
          <w:szCs w:val="32"/>
        </w:rPr>
        <w:t>（一）一般公共预算财政拨款支出决算总体情况</w:t>
      </w:r>
      <w:bookmarkEnd w:id="32"/>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年一般公共预算财政拨款支出</w:t>
      </w:r>
      <w:r>
        <w:rPr>
          <w:rFonts w:hint="eastAsia" w:ascii="仿宋_GB2312" w:hAnsi="仿宋" w:eastAsia="仿宋_GB2312"/>
          <w:color w:val="000000"/>
          <w:sz w:val="32"/>
          <w:szCs w:val="32"/>
          <w:lang w:val="en-US" w:eastAsia="zh-CN"/>
        </w:rPr>
        <w:t>241.75</w:t>
      </w:r>
      <w:r>
        <w:rPr>
          <w:rFonts w:hint="eastAsia" w:ascii="仿宋_GB2312" w:hAnsi="仿宋" w:eastAsia="仿宋_GB2312"/>
          <w:color w:val="000000"/>
          <w:sz w:val="32"/>
          <w:szCs w:val="32"/>
        </w:rPr>
        <w:t>万元，占本年支出合计的100%。</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216.07</w:t>
      </w:r>
      <w:r>
        <w:rPr>
          <w:rFonts w:hint="eastAsia" w:ascii="仿宋_GB2312" w:hAnsi="仿宋_GB2312" w:eastAsia="仿宋_GB2312" w:cs="仿宋_GB2312"/>
          <w:color w:val="000000"/>
          <w:sz w:val="32"/>
          <w:szCs w:val="32"/>
        </w:rPr>
        <w:t>相比，支出总计增加</w:t>
      </w:r>
    </w:p>
    <w:p>
      <w:pPr>
        <w:spacing w:line="560" w:lineRule="exact"/>
        <w:rPr>
          <w:rFonts w:ascii="仿宋_GB2312" w:hAnsi="仿宋" w:eastAsia="仿宋_GB2312"/>
          <w:color w:val="000000"/>
          <w:sz w:val="32"/>
          <w:szCs w:val="32"/>
        </w:rPr>
      </w:pPr>
      <w:r>
        <w:rPr>
          <w:rFonts w:hint="eastAsia" w:ascii="仿宋_GB2312" w:hAnsi="仿宋_GB2312" w:eastAsia="仿宋_GB2312" w:cs="仿宋_GB2312"/>
          <w:color w:val="000000"/>
          <w:sz w:val="32"/>
          <w:szCs w:val="32"/>
          <w:lang w:val="en-US" w:eastAsia="zh-CN"/>
        </w:rPr>
        <w:t>25.68</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11.89</w:t>
      </w:r>
      <w:r>
        <w:rPr>
          <w:rFonts w:hint="eastAsia" w:ascii="仿宋_GB2312" w:hAnsi="仿宋_GB2312" w:eastAsia="仿宋_GB2312" w:cs="仿宋_GB2312"/>
          <w:color w:val="000000"/>
          <w:sz w:val="32"/>
          <w:szCs w:val="32"/>
        </w:rPr>
        <w:t>%。收支总额变动主要原因是20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年度青少年相关活动开展相对增加，费用相对增加</w:t>
      </w:r>
      <w:r>
        <w:rPr>
          <w:rFonts w:hint="eastAsia" w:ascii="仿宋_GB2312" w:hAnsi="仿宋_GB2312" w:eastAsia="仿宋_GB2312" w:cs="仿宋_GB2312"/>
          <w:color w:val="000000"/>
          <w:sz w:val="32"/>
          <w:szCs w:val="32"/>
          <w:lang w:eastAsia="zh-CN"/>
        </w:rPr>
        <w:t>以及财返支出增加</w:t>
      </w:r>
      <w:r>
        <w:rPr>
          <w:rFonts w:hint="eastAsia" w:ascii="仿宋_GB2312" w:hAnsi="仿宋_GB2312" w:eastAsia="仿宋_GB2312" w:cs="仿宋_GB2312"/>
          <w:color w:val="000000"/>
          <w:sz w:val="32"/>
          <w:szCs w:val="32"/>
        </w:rPr>
        <w:t>。</w:t>
      </w:r>
    </w:p>
    <w:p>
      <w:pPr>
        <w:spacing w:line="240" w:lineRule="auto"/>
        <w:ind w:firstLine="560" w:firstLineChars="200"/>
        <w:jc w:val="center"/>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drawing>
          <wp:inline distT="0" distB="0" distL="114300" distR="114300">
            <wp:extent cx="4584065" cy="2755265"/>
            <wp:effectExtent l="0" t="0" r="6985" b="6985"/>
            <wp:docPr id="7" name="图片 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6"/>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560" w:lineRule="exact"/>
        <w:ind w:firstLine="560" w:firstLineChars="200"/>
        <w:jc w:val="center"/>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图5</w:t>
      </w:r>
    </w:p>
    <w:p>
      <w:pPr>
        <w:spacing w:line="560" w:lineRule="exact"/>
        <w:ind w:firstLine="643" w:firstLineChars="200"/>
        <w:rPr>
          <w:rFonts w:ascii="楷体" w:hAnsi="楷体" w:eastAsia="楷体" w:cs="楷体"/>
          <w:b/>
          <w:color w:val="000000"/>
          <w:sz w:val="32"/>
          <w:szCs w:val="32"/>
        </w:rPr>
      </w:pPr>
      <w:bookmarkStart w:id="33" w:name="_Toc15377211"/>
      <w:r>
        <w:rPr>
          <w:rFonts w:hint="eastAsia" w:ascii="楷体" w:hAnsi="楷体" w:eastAsia="楷体" w:cs="楷体"/>
          <w:b/>
          <w:color w:val="000000"/>
          <w:sz w:val="32"/>
          <w:szCs w:val="32"/>
        </w:rPr>
        <w:t>（二）一般公共预算财政拨款支出决算结构情况</w:t>
      </w:r>
      <w:bookmarkEnd w:id="33"/>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241.75</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24.87</w:t>
      </w:r>
      <w:r>
        <w:rPr>
          <w:rFonts w:hint="eastAsia" w:ascii="仿宋_GB2312" w:hAnsi="仿宋_GB2312" w:eastAsia="仿宋_GB2312" w:cs="仿宋_GB2312"/>
          <w:color w:val="000000" w:themeColor="text1"/>
          <w:sz w:val="32"/>
          <w:szCs w:val="32"/>
          <w14:textFill>
            <w14:solidFill>
              <w14:schemeClr w14:val="tx1"/>
            </w14:solidFill>
          </w14:textFill>
        </w:rPr>
        <w:t>万元，占9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文化旅游体育与传媒（类）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5.93万元，</w:t>
      </w:r>
      <w:r>
        <w:rPr>
          <w:rFonts w:hint="eastAsia" w:ascii="仿宋_GB2312" w:hAnsi="仿宋_GB2312" w:eastAsia="仿宋_GB2312" w:cs="仿宋_GB2312"/>
          <w:color w:val="000000" w:themeColor="text1"/>
          <w:sz w:val="32"/>
          <w:szCs w:val="32"/>
          <w14:textFill>
            <w14:solidFill>
              <w14:schemeClr w14:val="tx1"/>
            </w14:solidFill>
          </w14:textFill>
        </w:rPr>
        <w:t>占2.4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医疗卫生（类）</w:t>
      </w:r>
      <w:r>
        <w:rPr>
          <w:rFonts w:hint="eastAsia" w:ascii="仿宋_GB2312" w:hAnsi="仿宋_GB2312" w:eastAsia="仿宋_GB2312" w:cs="仿宋_GB2312"/>
          <w:color w:val="000000" w:themeColor="text1"/>
          <w:sz w:val="32"/>
          <w:szCs w:val="32"/>
          <w14:textFill>
            <w14:solidFill>
              <w14:schemeClr w14:val="tx1"/>
            </w14:solidFill>
          </w14:textFill>
        </w:rPr>
        <w:t>支出2.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w:t>
      </w:r>
      <w:r>
        <w:rPr>
          <w:rFonts w:hint="eastAsia" w:ascii="仿宋_GB2312" w:hAnsi="仿宋_GB2312" w:eastAsia="仿宋_GB2312" w:cs="仿宋_GB2312"/>
          <w:color w:val="000000" w:themeColor="text1"/>
          <w:sz w:val="32"/>
          <w:szCs w:val="32"/>
          <w14:textFill>
            <w14:solidFill>
              <w14:schemeClr w14:val="tx1"/>
            </w14:solidFill>
          </w14:textFill>
        </w:rPr>
        <w:t>万元，占1.1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住房保障（类）</w:t>
      </w:r>
      <w:r>
        <w:rPr>
          <w:rFonts w:hint="eastAsia" w:ascii="仿宋_GB2312" w:hAnsi="仿宋_GB2312" w:eastAsia="仿宋_GB2312" w:cs="仿宋_GB2312"/>
          <w:color w:val="000000" w:themeColor="text1"/>
          <w:sz w:val="32"/>
          <w:szCs w:val="32"/>
          <w14:textFill>
            <w14:solidFill>
              <w14:schemeClr w14:val="tx1"/>
            </w14:solidFill>
          </w14:textFill>
        </w:rPr>
        <w:t>支出3.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w:t>
      </w:r>
      <w:r>
        <w:rPr>
          <w:rFonts w:hint="eastAsia" w:ascii="仿宋_GB2312" w:hAnsi="仿宋_GB2312" w:eastAsia="仿宋_GB2312" w:cs="仿宋_GB2312"/>
          <w:color w:val="000000" w:themeColor="text1"/>
          <w:sz w:val="32"/>
          <w:szCs w:val="32"/>
          <w14:textFill>
            <w14:solidFill>
              <w14:schemeClr w14:val="tx1"/>
            </w14:solidFill>
          </w14:textFill>
        </w:rPr>
        <w:t>万元，占1.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240" w:lineRule="auto"/>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drawing>
          <wp:inline distT="0" distB="0" distL="114300" distR="114300">
            <wp:extent cx="4584065" cy="2755265"/>
            <wp:effectExtent l="0" t="0" r="6985" b="6985"/>
            <wp:docPr id="8" name="图片 8"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7"/>
                    <pic:cNvPicPr>
                      <a:picLocks noChangeAspect="1"/>
                    </pic:cNvPicPr>
                  </pic:nvPicPr>
                  <pic:blipFill>
                    <a:blip r:embed="rId12"/>
                    <a:stretch>
                      <a:fillRect/>
                    </a:stretch>
                  </pic:blipFill>
                  <pic:spPr>
                    <a:xfrm>
                      <a:off x="0" y="0"/>
                      <a:ext cx="4584065" cy="2755265"/>
                    </a:xfrm>
                    <a:prstGeom prst="rect">
                      <a:avLst/>
                    </a:prstGeom>
                  </pic:spPr>
                </pic:pic>
              </a:graphicData>
            </a:graphic>
          </wp:inline>
        </w:drawing>
      </w:r>
    </w:p>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图6</w:t>
      </w:r>
    </w:p>
    <w:p/>
    <w:p>
      <w:pPr>
        <w:spacing w:line="560" w:lineRule="exact"/>
        <w:ind w:firstLine="643" w:firstLineChars="200"/>
        <w:rPr>
          <w:rFonts w:ascii="楷体" w:hAnsi="楷体" w:eastAsia="楷体" w:cs="楷体"/>
          <w:b/>
          <w:color w:val="000000"/>
          <w:sz w:val="32"/>
          <w:szCs w:val="32"/>
        </w:rPr>
      </w:pPr>
      <w:bookmarkStart w:id="34" w:name="_Toc15377212"/>
      <w:r>
        <w:rPr>
          <w:rFonts w:hint="eastAsia" w:ascii="楷体" w:hAnsi="楷体" w:eastAsia="楷体" w:cs="楷体"/>
          <w:b/>
          <w:color w:val="000000"/>
          <w:sz w:val="32"/>
          <w:szCs w:val="32"/>
        </w:rPr>
        <w:t>（三）一般公共预算财政拨款支出决算具体情况</w:t>
      </w:r>
      <w:bookmarkEnd w:id="34"/>
    </w:p>
    <w:p>
      <w:pPr>
        <w:spacing w:line="560" w:lineRule="exact"/>
        <w:ind w:firstLine="643" w:firstLineChars="200"/>
        <w:rPr>
          <w:rFonts w:ascii="仿宋_GB2312" w:hAnsi="仿宋_GB2312" w:eastAsia="仿宋_GB2312" w:cs="仿宋_GB2312"/>
          <w:color w:val="FF0000"/>
          <w:sz w:val="32"/>
          <w:szCs w:val="32"/>
        </w:rPr>
      </w:pPr>
      <w:bookmarkStart w:id="35" w:name="_Toc15377213"/>
      <w:bookmarkStart w:id="36" w:name="_Toc15378460"/>
      <w:bookmarkStart w:id="37" w:name="_Toc15377444"/>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color w:val="000000" w:themeColor="text1"/>
          <w:sz w:val="32"/>
          <w:szCs w:val="32"/>
          <w14:textFill>
            <w14:solidFill>
              <w14:schemeClr w14:val="tx1"/>
            </w14:solidFill>
          </w14:textFill>
        </w:rPr>
        <w:t>年一般公共预算支出决算数为2</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41.75万元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7"/>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7"/>
          <w:rFonts w:hint="eastAsia" w:ascii="仿宋_GB2312" w:hAnsi="仿宋_GB2312" w:eastAsia="仿宋_GB2312" w:cs="仿宋_GB2312"/>
          <w:bCs/>
          <w:color w:val="000000"/>
          <w:sz w:val="32"/>
          <w:szCs w:val="32"/>
        </w:rPr>
        <w:t>预算100%。其中：</w:t>
      </w:r>
      <w:bookmarkEnd w:id="35"/>
      <w:bookmarkEnd w:id="36"/>
      <w:bookmarkEnd w:id="37"/>
    </w:p>
    <w:p>
      <w:pPr>
        <w:spacing w:line="560" w:lineRule="exact"/>
        <w:ind w:firstLine="643" w:firstLineChars="200"/>
        <w:rPr>
          <w:rFonts w:ascii="仿宋_GB2312" w:hAnsi="仿宋_GB2312" w:eastAsia="仿宋_GB2312" w:cs="仿宋_GB2312"/>
          <w:b/>
          <w:color w:val="000000"/>
          <w:sz w:val="32"/>
          <w:szCs w:val="32"/>
        </w:rPr>
      </w:pPr>
      <w:r>
        <w:rPr>
          <w:rStyle w:val="17"/>
          <w:rFonts w:hint="eastAsia" w:ascii="仿宋_GB2312" w:hAnsi="仿宋_GB2312" w:eastAsia="仿宋_GB2312" w:cs="仿宋_GB2312"/>
          <w:bCs/>
          <w:color w:val="000000"/>
          <w:sz w:val="32"/>
          <w:szCs w:val="32"/>
        </w:rPr>
        <w:t>1.一般公共服务</w:t>
      </w:r>
      <w:r>
        <w:rPr>
          <w:rStyle w:val="17"/>
          <w:rFonts w:hint="eastAsia" w:ascii="仿宋_GB2312" w:hAnsi="仿宋_GB2312" w:eastAsia="仿宋_GB2312" w:cs="仿宋_GB2312"/>
          <w:bCs/>
          <w:color w:val="000000"/>
          <w:sz w:val="32"/>
          <w:szCs w:val="32"/>
          <w:lang w:eastAsia="zh-CN"/>
        </w:rPr>
        <w:t>支出</w:t>
      </w:r>
      <w:r>
        <w:rPr>
          <w:rStyle w:val="17"/>
          <w:rFonts w:hint="eastAsia" w:ascii="仿宋_GB2312" w:hAnsi="仿宋_GB2312" w:eastAsia="仿宋_GB2312" w:cs="仿宋_GB2312"/>
          <w:bCs/>
          <w:color w:val="000000"/>
          <w:sz w:val="32"/>
          <w:szCs w:val="32"/>
        </w:rPr>
        <w:t>:</w:t>
      </w:r>
      <w:r>
        <w:rPr>
          <w:rStyle w:val="17"/>
          <w:rFonts w:hint="eastAsia" w:ascii="仿宋_GB2312" w:hAnsi="仿宋_GB2312" w:eastAsia="仿宋_GB2312" w:cs="仿宋_GB2312"/>
          <w:b w:val="0"/>
          <w:bCs/>
          <w:color w:val="000000"/>
          <w:sz w:val="32"/>
          <w:szCs w:val="32"/>
        </w:rPr>
        <w:t xml:space="preserve"> </w:t>
      </w:r>
      <w:r>
        <w:rPr>
          <w:rStyle w:val="17"/>
          <w:rFonts w:hint="eastAsia" w:ascii="仿宋_GB2312" w:hAnsi="仿宋_GB2312" w:eastAsia="仿宋_GB2312" w:cs="仿宋_GB2312"/>
          <w:b w:val="0"/>
          <w:bCs/>
          <w:color w:val="000000"/>
          <w:sz w:val="32"/>
          <w:szCs w:val="32"/>
          <w:lang w:val="en-US" w:eastAsia="zh-CN"/>
        </w:rPr>
        <w:t>2010499</w:t>
      </w:r>
      <w:r>
        <w:rPr>
          <w:rStyle w:val="17"/>
          <w:rFonts w:hint="eastAsia" w:ascii="仿宋_GB2312" w:hAnsi="仿宋_GB2312" w:eastAsia="仿宋_GB2312" w:cs="仿宋_GB2312"/>
          <w:b w:val="0"/>
          <w:bCs/>
          <w:color w:val="000000"/>
          <w:sz w:val="32"/>
          <w:szCs w:val="32"/>
        </w:rPr>
        <w:t>其他发展与改革事务</w:t>
      </w:r>
      <w:r>
        <w:rPr>
          <w:rStyle w:val="17"/>
          <w:rFonts w:hint="eastAsia" w:ascii="仿宋_GB2312" w:hAnsi="仿宋_GB2312" w:eastAsia="仿宋_GB2312" w:cs="仿宋_GB2312"/>
          <w:b w:val="0"/>
          <w:bCs/>
          <w:color w:val="000000"/>
          <w:sz w:val="32"/>
          <w:szCs w:val="32"/>
          <w:lang w:val="en-US" w:eastAsia="zh-CN"/>
        </w:rPr>
        <w:t>收入9万元，</w:t>
      </w:r>
      <w:r>
        <w:rPr>
          <w:rStyle w:val="17"/>
          <w:rFonts w:hint="eastAsia" w:ascii="仿宋_GB2312" w:hAnsi="仿宋_GB2312" w:eastAsia="仿宋_GB2312" w:cs="仿宋_GB2312"/>
          <w:b w:val="0"/>
          <w:bCs/>
          <w:color w:val="000000"/>
          <w:sz w:val="32"/>
          <w:szCs w:val="32"/>
        </w:rPr>
        <w:t>支出</w:t>
      </w:r>
      <w:r>
        <w:rPr>
          <w:rStyle w:val="17"/>
          <w:rFonts w:hint="eastAsia" w:ascii="仿宋_GB2312" w:hAnsi="仿宋_GB2312" w:eastAsia="仿宋_GB2312" w:cs="仿宋_GB2312"/>
          <w:b w:val="0"/>
          <w:bCs/>
          <w:color w:val="000000"/>
          <w:sz w:val="32"/>
          <w:szCs w:val="32"/>
          <w:lang w:val="en-US" w:eastAsia="zh-CN"/>
        </w:rPr>
        <w:t>决算为9万元，</w:t>
      </w:r>
      <w:r>
        <w:rPr>
          <w:rStyle w:val="17"/>
          <w:rFonts w:hint="eastAsia" w:ascii="仿宋_GB2312" w:hAnsi="仿宋_GB2312" w:eastAsia="仿宋_GB2312" w:cs="仿宋_GB2312"/>
          <w:b w:val="0"/>
          <w:bCs/>
          <w:color w:val="000000"/>
          <w:sz w:val="32"/>
          <w:szCs w:val="32"/>
        </w:rPr>
        <w:t>完成预算</w:t>
      </w:r>
      <w:r>
        <w:rPr>
          <w:rStyle w:val="17"/>
          <w:rFonts w:hint="eastAsia" w:ascii="仿宋_GB2312" w:hAnsi="仿宋_GB2312" w:eastAsia="仿宋_GB2312" w:cs="仿宋_GB2312"/>
          <w:b w:val="0"/>
          <w:bCs/>
          <w:color w:val="000000"/>
          <w:sz w:val="32"/>
          <w:szCs w:val="32"/>
          <w:lang w:val="en-US" w:eastAsia="zh-CN"/>
        </w:rPr>
        <w:t>的</w:t>
      </w:r>
      <w:r>
        <w:rPr>
          <w:rStyle w:val="17"/>
          <w:rFonts w:hint="eastAsia" w:ascii="仿宋_GB2312" w:hAnsi="仿宋_GB2312" w:eastAsia="仿宋_GB2312" w:cs="仿宋_GB2312"/>
          <w:b w:val="0"/>
          <w:bCs/>
          <w:color w:val="000000"/>
          <w:sz w:val="32"/>
          <w:szCs w:val="32"/>
        </w:rPr>
        <w:t>10</w:t>
      </w:r>
      <w:r>
        <w:rPr>
          <w:rStyle w:val="17"/>
          <w:rFonts w:hint="eastAsia" w:ascii="仿宋_GB2312" w:hAnsi="仿宋_GB2312" w:eastAsia="仿宋_GB2312" w:cs="仿宋_GB2312"/>
          <w:b w:val="0"/>
          <w:bCs/>
          <w:color w:val="000000"/>
          <w:sz w:val="32"/>
          <w:szCs w:val="32"/>
          <w:lang w:val="en-US" w:eastAsia="zh-CN"/>
        </w:rPr>
        <w:t>0</w:t>
      </w:r>
      <w:r>
        <w:rPr>
          <w:rStyle w:val="17"/>
          <w:rFonts w:hint="eastAsia" w:ascii="仿宋_GB2312" w:hAnsi="仿宋_GB2312" w:eastAsia="仿宋_GB2312" w:cs="仿宋_GB2312"/>
          <w:b w:val="0"/>
          <w:bCs/>
          <w:color w:val="000000"/>
          <w:sz w:val="32"/>
          <w:szCs w:val="32"/>
        </w:rPr>
        <w:t>%</w:t>
      </w:r>
      <w:r>
        <w:rPr>
          <w:rStyle w:val="17"/>
          <w:rFonts w:hint="eastAsia" w:ascii="仿宋_GB2312" w:hAnsi="仿宋_GB2312" w:eastAsia="仿宋_GB2312" w:cs="仿宋_GB2312"/>
          <w:b w:val="0"/>
          <w:bCs/>
          <w:color w:val="000000"/>
          <w:sz w:val="32"/>
          <w:szCs w:val="32"/>
          <w:lang w:eastAsia="zh-CN"/>
        </w:rPr>
        <w:t>；</w:t>
      </w:r>
      <w:r>
        <w:rPr>
          <w:rStyle w:val="17"/>
          <w:rFonts w:hint="eastAsia" w:ascii="仿宋_GB2312" w:hAnsi="仿宋_GB2312" w:eastAsia="仿宋_GB2312" w:cs="仿宋_GB2312"/>
          <w:b w:val="0"/>
          <w:bCs/>
          <w:color w:val="000000"/>
          <w:sz w:val="32"/>
          <w:szCs w:val="32"/>
          <w:lang w:val="en-US" w:eastAsia="zh-CN"/>
        </w:rPr>
        <w:t>2016399其他民族事务支出决算为0.6万元；</w:t>
      </w:r>
      <w:r>
        <w:rPr>
          <w:rStyle w:val="17"/>
          <w:rFonts w:hint="eastAsia" w:ascii="仿宋_GB2312" w:hAnsi="仿宋_GB2312" w:eastAsia="仿宋_GB2312" w:cs="仿宋_GB2312"/>
          <w:b w:val="0"/>
          <w:bCs/>
          <w:color w:val="000000"/>
          <w:sz w:val="32"/>
          <w:szCs w:val="32"/>
        </w:rPr>
        <w:t>2012901行政运行</w:t>
      </w:r>
      <w:r>
        <w:rPr>
          <w:rStyle w:val="17"/>
          <w:rFonts w:hint="eastAsia" w:ascii="仿宋_GB2312" w:hAnsi="仿宋_GB2312" w:eastAsia="仿宋_GB2312" w:cs="仿宋_GB2312"/>
          <w:b w:val="0"/>
          <w:bCs/>
          <w:color w:val="000000"/>
          <w:sz w:val="32"/>
          <w:szCs w:val="32"/>
          <w:lang w:val="en-US" w:eastAsia="zh-CN"/>
        </w:rPr>
        <w:t>收入</w:t>
      </w:r>
      <w:r>
        <w:rPr>
          <w:rStyle w:val="17"/>
          <w:rFonts w:hint="eastAsia" w:ascii="仿宋_GB2312" w:hAnsi="仿宋_GB2312" w:eastAsia="仿宋_GB2312" w:cs="仿宋_GB2312"/>
          <w:b w:val="0"/>
          <w:bCs/>
          <w:color w:val="000000"/>
          <w:sz w:val="32"/>
          <w:szCs w:val="32"/>
        </w:rPr>
        <w:t>1</w:t>
      </w:r>
      <w:r>
        <w:rPr>
          <w:rStyle w:val="17"/>
          <w:rFonts w:hint="eastAsia" w:ascii="仿宋_GB2312" w:hAnsi="仿宋_GB2312" w:eastAsia="仿宋_GB2312" w:cs="仿宋_GB2312"/>
          <w:b w:val="0"/>
          <w:bCs/>
          <w:color w:val="000000"/>
          <w:sz w:val="32"/>
          <w:szCs w:val="32"/>
          <w:lang w:val="en-US" w:eastAsia="zh-CN"/>
        </w:rPr>
        <w:t>17.23</w:t>
      </w:r>
      <w:r>
        <w:rPr>
          <w:rStyle w:val="17"/>
          <w:rFonts w:hint="eastAsia" w:ascii="仿宋_GB2312" w:hAnsi="仿宋_GB2312" w:eastAsia="仿宋_GB2312" w:cs="仿宋_GB2312"/>
          <w:b w:val="0"/>
          <w:bCs/>
          <w:color w:val="000000"/>
          <w:sz w:val="32"/>
          <w:szCs w:val="32"/>
        </w:rPr>
        <w:t>万元，支出决算为1</w:t>
      </w:r>
      <w:r>
        <w:rPr>
          <w:rStyle w:val="17"/>
          <w:rFonts w:hint="eastAsia" w:ascii="仿宋_GB2312" w:hAnsi="仿宋_GB2312" w:eastAsia="仿宋_GB2312" w:cs="仿宋_GB2312"/>
          <w:b w:val="0"/>
          <w:bCs/>
          <w:color w:val="000000"/>
          <w:sz w:val="32"/>
          <w:szCs w:val="32"/>
          <w:lang w:val="en-US" w:eastAsia="zh-CN"/>
        </w:rPr>
        <w:t>17.39</w:t>
      </w:r>
      <w:r>
        <w:rPr>
          <w:rStyle w:val="17"/>
          <w:rFonts w:hint="eastAsia" w:ascii="仿宋_GB2312" w:hAnsi="仿宋_GB2312" w:eastAsia="仿宋_GB2312" w:cs="仿宋_GB2312"/>
          <w:b w:val="0"/>
          <w:bCs/>
          <w:color w:val="000000"/>
          <w:sz w:val="32"/>
          <w:szCs w:val="32"/>
        </w:rPr>
        <w:t>万元，完成预算10</w:t>
      </w:r>
      <w:r>
        <w:rPr>
          <w:rStyle w:val="17"/>
          <w:rFonts w:hint="eastAsia" w:ascii="仿宋_GB2312" w:hAnsi="仿宋_GB2312" w:eastAsia="仿宋_GB2312" w:cs="仿宋_GB2312"/>
          <w:b w:val="0"/>
          <w:bCs/>
          <w:color w:val="000000"/>
          <w:sz w:val="32"/>
          <w:szCs w:val="32"/>
          <w:lang w:val="en-US" w:eastAsia="zh-CN"/>
        </w:rPr>
        <w:t>0.14</w:t>
      </w:r>
      <w:r>
        <w:rPr>
          <w:rStyle w:val="17"/>
          <w:rFonts w:hint="eastAsia" w:ascii="仿宋_GB2312" w:hAnsi="仿宋_GB2312" w:eastAsia="仿宋_GB2312" w:cs="仿宋_GB2312"/>
          <w:b w:val="0"/>
          <w:bCs/>
          <w:color w:val="000000"/>
          <w:sz w:val="32"/>
          <w:szCs w:val="32"/>
        </w:rPr>
        <w:t>%；2012999群众团体事务</w:t>
      </w:r>
      <w:r>
        <w:rPr>
          <w:rStyle w:val="17"/>
          <w:rFonts w:hint="eastAsia" w:ascii="仿宋_GB2312" w:hAnsi="仿宋_GB2312" w:eastAsia="仿宋_GB2312" w:cs="仿宋_GB2312"/>
          <w:b w:val="0"/>
          <w:bCs/>
          <w:color w:val="000000"/>
          <w:sz w:val="32"/>
          <w:szCs w:val="32"/>
          <w:lang w:val="en-US" w:eastAsia="zh-CN"/>
        </w:rPr>
        <w:t>收入42.5万元，</w:t>
      </w:r>
      <w:r>
        <w:rPr>
          <w:rStyle w:val="17"/>
          <w:rFonts w:hint="eastAsia" w:ascii="仿宋_GB2312" w:hAnsi="仿宋_GB2312" w:eastAsia="仿宋_GB2312" w:cs="仿宋_GB2312"/>
          <w:b w:val="0"/>
          <w:bCs/>
          <w:color w:val="000000"/>
          <w:sz w:val="32"/>
          <w:szCs w:val="32"/>
        </w:rPr>
        <w:t>支出决算为</w:t>
      </w:r>
      <w:r>
        <w:rPr>
          <w:rStyle w:val="17"/>
          <w:rFonts w:hint="eastAsia" w:ascii="仿宋_GB2312" w:hAnsi="仿宋_GB2312" w:eastAsia="仿宋_GB2312" w:cs="仿宋_GB2312"/>
          <w:b w:val="0"/>
          <w:bCs/>
          <w:color w:val="000000"/>
          <w:sz w:val="32"/>
          <w:szCs w:val="32"/>
          <w:lang w:val="en-US" w:eastAsia="zh-CN"/>
        </w:rPr>
        <w:t>97</w:t>
      </w:r>
      <w:r>
        <w:rPr>
          <w:rStyle w:val="17"/>
          <w:rFonts w:hint="eastAsia" w:ascii="仿宋_GB2312" w:hAnsi="仿宋_GB2312" w:eastAsia="仿宋_GB2312" w:cs="仿宋_GB2312"/>
          <w:b w:val="0"/>
          <w:bCs/>
          <w:color w:val="000000"/>
          <w:sz w:val="32"/>
          <w:szCs w:val="32"/>
        </w:rPr>
        <w:t>.88万元，完成预算</w:t>
      </w:r>
      <w:r>
        <w:rPr>
          <w:rStyle w:val="17"/>
          <w:rFonts w:hint="eastAsia" w:ascii="仿宋_GB2312" w:hAnsi="仿宋_GB2312" w:eastAsia="仿宋_GB2312" w:cs="仿宋_GB2312"/>
          <w:b w:val="0"/>
          <w:bCs/>
          <w:color w:val="000000"/>
          <w:sz w:val="32"/>
          <w:szCs w:val="32"/>
          <w:lang w:val="en-US" w:eastAsia="zh-CN"/>
        </w:rPr>
        <w:t>230.3</w:t>
      </w:r>
      <w:r>
        <w:rPr>
          <w:rStyle w:val="17"/>
          <w:rFonts w:hint="eastAsia" w:ascii="仿宋_GB2312" w:hAnsi="仿宋_GB2312" w:eastAsia="仿宋_GB2312" w:cs="仿宋_GB2312"/>
          <w:b w:val="0"/>
          <w:bCs/>
          <w:color w:val="000000"/>
          <w:sz w:val="32"/>
          <w:szCs w:val="32"/>
        </w:rPr>
        <w:t>%；决算</w:t>
      </w:r>
      <w:r>
        <w:rPr>
          <w:rStyle w:val="17"/>
          <w:rFonts w:hint="eastAsia" w:ascii="仿宋_GB2312" w:hAnsi="仿宋_GB2312" w:eastAsia="仿宋_GB2312" w:cs="仿宋_GB2312"/>
          <w:b w:val="0"/>
          <w:bCs/>
          <w:color w:val="000000"/>
          <w:sz w:val="32"/>
          <w:szCs w:val="32"/>
          <w:lang w:val="en-US" w:eastAsia="zh-CN"/>
        </w:rPr>
        <w:t>支出</w:t>
      </w:r>
      <w:r>
        <w:rPr>
          <w:rStyle w:val="17"/>
          <w:rFonts w:hint="eastAsia" w:ascii="仿宋_GB2312" w:hAnsi="仿宋_GB2312" w:eastAsia="仿宋_GB2312" w:cs="仿宋_GB2312"/>
          <w:b w:val="0"/>
          <w:bCs/>
          <w:color w:val="000000"/>
          <w:sz w:val="32"/>
          <w:szCs w:val="32"/>
        </w:rPr>
        <w:t>数超出预算数的主要原因是本单位201</w:t>
      </w:r>
      <w:r>
        <w:rPr>
          <w:rStyle w:val="17"/>
          <w:rFonts w:hint="eastAsia" w:ascii="仿宋_GB2312" w:hAnsi="仿宋_GB2312" w:eastAsia="仿宋_GB2312" w:cs="仿宋_GB2312"/>
          <w:b w:val="0"/>
          <w:bCs/>
          <w:color w:val="000000"/>
          <w:sz w:val="32"/>
          <w:szCs w:val="32"/>
          <w:lang w:val="en-US" w:eastAsia="zh-CN"/>
        </w:rPr>
        <w:t>9</w:t>
      </w:r>
      <w:r>
        <w:rPr>
          <w:rStyle w:val="17"/>
          <w:rFonts w:hint="eastAsia" w:ascii="仿宋_GB2312" w:hAnsi="仿宋_GB2312" w:eastAsia="仿宋_GB2312" w:cs="仿宋_GB2312"/>
          <w:b w:val="0"/>
          <w:bCs/>
          <w:color w:val="000000"/>
          <w:sz w:val="32"/>
          <w:szCs w:val="32"/>
        </w:rPr>
        <w:t>年结转结余资金较多，在20</w:t>
      </w:r>
      <w:r>
        <w:rPr>
          <w:rStyle w:val="17"/>
          <w:rFonts w:hint="eastAsia" w:ascii="仿宋_GB2312" w:hAnsi="仿宋_GB2312" w:eastAsia="仿宋_GB2312" w:cs="仿宋_GB2312"/>
          <w:b w:val="0"/>
          <w:bCs/>
          <w:color w:val="000000"/>
          <w:sz w:val="32"/>
          <w:szCs w:val="32"/>
          <w:lang w:val="en-US" w:eastAsia="zh-CN"/>
        </w:rPr>
        <w:t>20</w:t>
      </w:r>
      <w:r>
        <w:rPr>
          <w:rStyle w:val="17"/>
          <w:rFonts w:hint="eastAsia" w:ascii="仿宋_GB2312" w:hAnsi="仿宋_GB2312" w:eastAsia="仿宋_GB2312" w:cs="仿宋_GB2312"/>
          <w:b w:val="0"/>
          <w:bCs/>
          <w:color w:val="000000"/>
          <w:sz w:val="32"/>
          <w:szCs w:val="32"/>
        </w:rPr>
        <w:t>年度全面进行了支付。</w:t>
      </w:r>
    </w:p>
    <w:p>
      <w:pPr>
        <w:spacing w:line="560" w:lineRule="exact"/>
        <w:ind w:firstLine="643" w:firstLineChars="200"/>
        <w:rPr>
          <w:rStyle w:val="17"/>
          <w:rFonts w:hint="default" w:ascii="仿宋_GB2312" w:hAnsi="仿宋_GB2312" w:eastAsia="仿宋_GB2312" w:cs="仿宋_GB2312"/>
          <w:b w:val="0"/>
          <w:bCs/>
          <w:color w:val="000000"/>
          <w:sz w:val="32"/>
          <w:szCs w:val="32"/>
          <w:lang w:val="en-US" w:eastAsia="zh-CN"/>
        </w:rPr>
      </w:pPr>
      <w:r>
        <w:rPr>
          <w:rStyle w:val="17"/>
          <w:rFonts w:hint="eastAsia" w:ascii="仿宋_GB2312" w:hAnsi="仿宋_GB2312" w:eastAsia="仿宋_GB2312" w:cs="仿宋_GB2312"/>
          <w:bCs/>
          <w:color w:val="000000"/>
          <w:sz w:val="32"/>
          <w:szCs w:val="32"/>
          <w:lang w:val="en-US" w:eastAsia="zh-CN"/>
        </w:rPr>
        <w:t>2.文化旅游体育与传媒支出：2079999</w:t>
      </w:r>
      <w:r>
        <w:rPr>
          <w:rStyle w:val="17"/>
          <w:rFonts w:hint="eastAsia" w:ascii="仿宋_GB2312" w:hAnsi="仿宋_GB2312" w:eastAsia="仿宋_GB2312" w:cs="仿宋_GB2312"/>
          <w:b w:val="0"/>
          <w:bCs/>
          <w:color w:val="000000"/>
          <w:sz w:val="32"/>
          <w:szCs w:val="32"/>
          <w:lang w:val="en-US" w:eastAsia="zh-CN"/>
        </w:rPr>
        <w:t>其他文化旅游体育与传媒收入9万元，支出决算为5.93万元，</w:t>
      </w:r>
      <w:r>
        <w:rPr>
          <w:rStyle w:val="17"/>
          <w:rFonts w:hint="eastAsia" w:ascii="仿宋_GB2312" w:hAnsi="仿宋_GB2312" w:eastAsia="仿宋_GB2312" w:cs="仿宋_GB2312"/>
          <w:b w:val="0"/>
          <w:bCs/>
          <w:color w:val="000000"/>
          <w:sz w:val="32"/>
          <w:szCs w:val="32"/>
        </w:rPr>
        <w:t>完成预算</w:t>
      </w:r>
      <w:r>
        <w:rPr>
          <w:rStyle w:val="17"/>
          <w:rFonts w:hint="eastAsia" w:ascii="仿宋_GB2312" w:hAnsi="仿宋_GB2312" w:eastAsia="仿宋_GB2312" w:cs="仿宋_GB2312"/>
          <w:b w:val="0"/>
          <w:bCs/>
          <w:color w:val="000000"/>
          <w:sz w:val="32"/>
          <w:szCs w:val="32"/>
          <w:lang w:val="en-US" w:eastAsia="zh-CN"/>
        </w:rPr>
        <w:t>的65.89</w:t>
      </w:r>
      <w:r>
        <w:rPr>
          <w:rStyle w:val="17"/>
          <w:rFonts w:hint="eastAsia" w:ascii="仿宋_GB2312" w:hAnsi="仿宋_GB2312" w:eastAsia="仿宋_GB2312" w:cs="仿宋_GB2312"/>
          <w:b w:val="0"/>
          <w:bCs/>
          <w:color w:val="000000"/>
          <w:sz w:val="32"/>
          <w:szCs w:val="32"/>
        </w:rPr>
        <w:t>%</w:t>
      </w:r>
      <w:r>
        <w:rPr>
          <w:rStyle w:val="17"/>
          <w:rFonts w:hint="eastAsia" w:ascii="仿宋_GB2312" w:hAnsi="仿宋_GB2312" w:eastAsia="仿宋_GB2312" w:cs="仿宋_GB2312"/>
          <w:b w:val="0"/>
          <w:bCs/>
          <w:color w:val="000000"/>
          <w:sz w:val="32"/>
          <w:szCs w:val="32"/>
          <w:lang w:eastAsia="zh-CN"/>
        </w:rPr>
        <w:t>；</w:t>
      </w:r>
    </w:p>
    <w:p>
      <w:pPr>
        <w:spacing w:line="560" w:lineRule="exact"/>
        <w:ind w:firstLine="643" w:firstLineChars="200"/>
        <w:rPr>
          <w:rFonts w:ascii="仿宋_GB2312" w:hAnsi="仿宋_GB2312" w:eastAsia="仿宋_GB2312" w:cs="仿宋_GB2312"/>
          <w:b/>
          <w:color w:val="000000"/>
          <w:sz w:val="32"/>
          <w:szCs w:val="32"/>
        </w:rPr>
      </w:pPr>
      <w:r>
        <w:rPr>
          <w:rStyle w:val="17"/>
          <w:rFonts w:hint="eastAsia" w:ascii="仿宋_GB2312" w:hAnsi="仿宋_GB2312" w:eastAsia="仿宋_GB2312" w:cs="仿宋_GB2312"/>
          <w:bCs/>
          <w:color w:val="000000"/>
          <w:sz w:val="32"/>
          <w:szCs w:val="32"/>
          <w:lang w:val="en-US" w:eastAsia="zh-CN"/>
        </w:rPr>
        <w:t>3</w:t>
      </w:r>
      <w:r>
        <w:rPr>
          <w:rStyle w:val="17"/>
          <w:rFonts w:hint="eastAsia" w:ascii="仿宋_GB2312" w:hAnsi="仿宋_GB2312" w:eastAsia="仿宋_GB2312" w:cs="仿宋_GB2312"/>
          <w:bCs/>
          <w:color w:val="000000"/>
          <w:sz w:val="32"/>
          <w:szCs w:val="32"/>
        </w:rPr>
        <w:t>.社会保障和就业</w:t>
      </w:r>
      <w:r>
        <w:rPr>
          <w:rStyle w:val="17"/>
          <w:rFonts w:hint="eastAsia" w:ascii="仿宋_GB2312" w:hAnsi="仿宋_GB2312" w:eastAsia="仿宋_GB2312" w:cs="仿宋_GB2312"/>
          <w:bCs/>
          <w:color w:val="000000"/>
          <w:sz w:val="32"/>
          <w:szCs w:val="32"/>
          <w:lang w:eastAsia="zh-CN"/>
        </w:rPr>
        <w:t>支出</w:t>
      </w:r>
      <w:r>
        <w:rPr>
          <w:rStyle w:val="17"/>
          <w:rFonts w:hint="eastAsia" w:ascii="仿宋_GB2312" w:hAnsi="仿宋_GB2312" w:eastAsia="仿宋_GB2312" w:cs="仿宋_GB2312"/>
          <w:bCs/>
          <w:color w:val="000000"/>
          <w:sz w:val="32"/>
          <w:szCs w:val="32"/>
        </w:rPr>
        <w:t>:</w:t>
      </w:r>
      <w:r>
        <w:rPr>
          <w:rStyle w:val="17"/>
          <w:rFonts w:hint="eastAsia" w:ascii="仿宋_GB2312" w:hAnsi="仿宋_GB2312" w:eastAsia="仿宋_GB2312" w:cs="仿宋_GB2312"/>
          <w:b w:val="0"/>
          <w:bCs/>
          <w:color w:val="000000"/>
          <w:sz w:val="32"/>
          <w:szCs w:val="32"/>
        </w:rPr>
        <w:t>2080505机关事业单位基本养老保</w:t>
      </w:r>
      <w:r>
        <w:rPr>
          <w:rStyle w:val="17"/>
          <w:rFonts w:hint="eastAsia" w:ascii="仿宋_GB2312" w:hAnsi="仿宋_GB2312" w:eastAsia="仿宋_GB2312" w:cs="仿宋_GB2312"/>
          <w:bCs/>
          <w:color w:val="000000"/>
          <w:sz w:val="32"/>
          <w:szCs w:val="32"/>
        </w:rPr>
        <w:t>险缴费</w:t>
      </w:r>
      <w:r>
        <w:rPr>
          <w:rStyle w:val="17"/>
          <w:rFonts w:hint="eastAsia" w:ascii="仿宋_GB2312" w:hAnsi="仿宋_GB2312" w:eastAsia="仿宋_GB2312" w:cs="仿宋_GB2312"/>
          <w:b w:val="0"/>
          <w:bCs/>
          <w:color w:val="000000"/>
          <w:sz w:val="32"/>
          <w:szCs w:val="32"/>
        </w:rPr>
        <w:t>支出决算为</w:t>
      </w:r>
      <w:r>
        <w:rPr>
          <w:rStyle w:val="17"/>
          <w:rFonts w:hint="eastAsia" w:ascii="仿宋_GB2312" w:hAnsi="仿宋_GB2312" w:eastAsia="仿宋_GB2312" w:cs="仿宋_GB2312"/>
          <w:b w:val="0"/>
          <w:bCs/>
          <w:color w:val="000000"/>
          <w:sz w:val="32"/>
          <w:szCs w:val="32"/>
          <w:lang w:val="en-US" w:eastAsia="zh-CN"/>
        </w:rPr>
        <w:t>2.75</w:t>
      </w:r>
      <w:r>
        <w:rPr>
          <w:rStyle w:val="17"/>
          <w:rFonts w:hint="eastAsia" w:ascii="仿宋_GB2312" w:hAnsi="仿宋_GB2312" w:eastAsia="仿宋_GB2312" w:cs="仿宋_GB2312"/>
          <w:b w:val="0"/>
          <w:bCs/>
          <w:color w:val="000000"/>
          <w:sz w:val="32"/>
          <w:szCs w:val="32"/>
        </w:rPr>
        <w:t>万元，完成预算100%，2080506机关事业单位职业年金缴费支出决算</w:t>
      </w:r>
      <w:r>
        <w:rPr>
          <w:rStyle w:val="17"/>
          <w:rFonts w:hint="eastAsia" w:ascii="仿宋_GB2312" w:hAnsi="仿宋_GB2312" w:eastAsia="仿宋_GB2312" w:cs="仿宋_GB2312"/>
          <w:b w:val="0"/>
          <w:bCs/>
          <w:color w:val="000000"/>
          <w:sz w:val="32"/>
          <w:szCs w:val="32"/>
          <w:lang w:eastAsia="zh-CN"/>
        </w:rPr>
        <w:t>为</w:t>
      </w:r>
      <w:r>
        <w:rPr>
          <w:rStyle w:val="17"/>
          <w:rFonts w:hint="eastAsia" w:ascii="仿宋_GB2312" w:hAnsi="仿宋_GB2312" w:eastAsia="仿宋_GB2312" w:cs="仿宋_GB2312"/>
          <w:b w:val="0"/>
          <w:bCs/>
          <w:color w:val="000000"/>
          <w:sz w:val="32"/>
          <w:szCs w:val="32"/>
          <w:lang w:val="en-US" w:eastAsia="zh-CN"/>
        </w:rPr>
        <w:t>1.68</w:t>
      </w:r>
      <w:r>
        <w:rPr>
          <w:rStyle w:val="17"/>
          <w:rFonts w:hint="eastAsia" w:ascii="仿宋_GB2312" w:hAnsi="仿宋_GB2312" w:eastAsia="仿宋_GB2312" w:cs="仿宋_GB2312"/>
          <w:b w:val="0"/>
          <w:bCs/>
          <w:color w:val="000000"/>
          <w:sz w:val="32"/>
          <w:szCs w:val="32"/>
        </w:rPr>
        <w:t>万元，完成预算100%。</w:t>
      </w:r>
    </w:p>
    <w:p>
      <w:pPr>
        <w:spacing w:line="560" w:lineRule="exact"/>
        <w:ind w:firstLine="643" w:firstLineChars="200"/>
        <w:rPr>
          <w:rFonts w:ascii="仿宋_GB2312" w:hAnsi="仿宋_GB2312" w:eastAsia="仿宋_GB2312" w:cs="仿宋_GB2312"/>
          <w:color w:val="000000"/>
          <w:sz w:val="32"/>
          <w:szCs w:val="32"/>
        </w:rPr>
      </w:pPr>
      <w:r>
        <w:rPr>
          <w:rStyle w:val="17"/>
          <w:rFonts w:hint="eastAsia" w:ascii="仿宋_GB2312" w:hAnsi="仿宋_GB2312" w:eastAsia="仿宋_GB2312" w:cs="仿宋_GB2312"/>
          <w:bCs/>
          <w:color w:val="000000"/>
          <w:sz w:val="32"/>
          <w:szCs w:val="32"/>
          <w:lang w:val="en-US" w:eastAsia="zh-CN"/>
        </w:rPr>
        <w:t>4</w:t>
      </w:r>
      <w:r>
        <w:rPr>
          <w:rStyle w:val="17"/>
          <w:rFonts w:hint="eastAsia" w:ascii="仿宋_GB2312" w:hAnsi="仿宋_GB2312" w:eastAsia="仿宋_GB2312" w:cs="仿宋_GB2312"/>
          <w:bCs/>
          <w:color w:val="000000"/>
          <w:sz w:val="32"/>
          <w:szCs w:val="32"/>
        </w:rPr>
        <w:t>.医疗卫生与计划生育</w:t>
      </w:r>
      <w:r>
        <w:rPr>
          <w:rStyle w:val="17"/>
          <w:rFonts w:hint="eastAsia" w:ascii="仿宋_GB2312" w:hAnsi="仿宋_GB2312" w:eastAsia="仿宋_GB2312" w:cs="仿宋_GB2312"/>
          <w:bCs/>
          <w:color w:val="000000"/>
          <w:sz w:val="32"/>
          <w:szCs w:val="32"/>
          <w:lang w:eastAsia="zh-CN"/>
        </w:rPr>
        <w:t>支出</w:t>
      </w:r>
      <w:r>
        <w:rPr>
          <w:rStyle w:val="17"/>
          <w:rFonts w:hint="eastAsia" w:ascii="仿宋_GB2312" w:hAnsi="仿宋_GB2312" w:eastAsia="仿宋_GB2312" w:cs="仿宋_GB2312"/>
          <w:bCs/>
          <w:color w:val="000000"/>
          <w:sz w:val="32"/>
          <w:szCs w:val="32"/>
        </w:rPr>
        <w:t>:</w:t>
      </w:r>
      <w:r>
        <w:rPr>
          <w:rStyle w:val="17"/>
          <w:rFonts w:hint="eastAsia" w:ascii="仿宋_GB2312" w:hAnsi="仿宋_GB2312" w:eastAsia="仿宋_GB2312" w:cs="仿宋_GB2312"/>
          <w:b w:val="0"/>
          <w:bCs/>
          <w:color w:val="000000"/>
          <w:sz w:val="32"/>
          <w:szCs w:val="32"/>
        </w:rPr>
        <w:t>2101101行政单位医疗支出决算为</w:t>
      </w:r>
      <w:r>
        <w:rPr>
          <w:rStyle w:val="17"/>
          <w:rFonts w:hint="eastAsia" w:ascii="仿宋_GB2312" w:hAnsi="仿宋_GB2312" w:eastAsia="仿宋_GB2312" w:cs="仿宋_GB2312"/>
          <w:b w:val="0"/>
          <w:bCs/>
          <w:color w:val="000000"/>
          <w:sz w:val="32"/>
          <w:szCs w:val="32"/>
          <w:lang w:val="en-US" w:eastAsia="zh-CN"/>
        </w:rPr>
        <w:t>2.84</w:t>
      </w:r>
      <w:r>
        <w:rPr>
          <w:rStyle w:val="17"/>
          <w:rFonts w:hint="eastAsia" w:ascii="仿宋_GB2312" w:hAnsi="仿宋_GB2312" w:eastAsia="仿宋_GB2312" w:cs="仿宋_GB2312"/>
          <w:b w:val="0"/>
          <w:bCs/>
          <w:color w:val="000000"/>
          <w:sz w:val="32"/>
          <w:szCs w:val="32"/>
        </w:rPr>
        <w:t>万元，完成预算100%.</w:t>
      </w:r>
      <w:r>
        <w:rPr>
          <w:rFonts w:hint="eastAsia" w:ascii="仿宋_GB2312" w:hAnsi="仿宋_GB2312" w:eastAsia="仿宋_GB2312" w:cs="仿宋_GB2312"/>
          <w:color w:val="000000"/>
          <w:sz w:val="32"/>
          <w:szCs w:val="32"/>
        </w:rPr>
        <w:t xml:space="preserve"> </w:t>
      </w:r>
    </w:p>
    <w:p>
      <w:pPr>
        <w:spacing w:line="560" w:lineRule="exact"/>
        <w:ind w:firstLine="643" w:firstLineChars="200"/>
        <w:rPr>
          <w:rFonts w:ascii="仿宋_GB2312" w:hAnsi="仿宋_GB2312" w:eastAsia="仿宋_GB2312" w:cs="仿宋_GB2312"/>
          <w:b/>
          <w:color w:val="000000"/>
          <w:sz w:val="32"/>
          <w:szCs w:val="32"/>
        </w:rPr>
      </w:pPr>
      <w:r>
        <w:rPr>
          <w:rStyle w:val="17"/>
          <w:rFonts w:hint="eastAsia" w:ascii="仿宋_GB2312" w:hAnsi="仿宋_GB2312" w:eastAsia="仿宋_GB2312" w:cs="仿宋_GB2312"/>
          <w:bCs/>
          <w:color w:val="000000"/>
          <w:sz w:val="32"/>
          <w:szCs w:val="32"/>
        </w:rPr>
        <w:t>4.住房保障支出:</w:t>
      </w:r>
      <w:r>
        <w:rPr>
          <w:rStyle w:val="17"/>
          <w:rFonts w:hint="eastAsia" w:ascii="仿宋_GB2312" w:hAnsi="仿宋_GB2312" w:eastAsia="仿宋_GB2312" w:cs="仿宋_GB2312"/>
          <w:b w:val="0"/>
          <w:bCs/>
          <w:color w:val="000000"/>
          <w:sz w:val="32"/>
          <w:szCs w:val="32"/>
        </w:rPr>
        <w:t>2210201</w:t>
      </w:r>
      <w:r>
        <w:rPr>
          <w:rFonts w:hint="eastAsia" w:ascii="仿宋_GB2312" w:hAnsi="仿宋_GB2312" w:eastAsia="仿宋_GB2312" w:cs="仿宋_GB2312"/>
          <w:color w:val="000000" w:themeColor="text1"/>
          <w:sz w:val="32"/>
          <w:szCs w:val="32"/>
          <w14:textFill>
            <w14:solidFill>
              <w14:schemeClr w14:val="tx1"/>
            </w14:solidFill>
          </w14:textFill>
        </w:rPr>
        <w:t>住房公积金支出决算3.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tabs>
          <w:tab w:val="right" w:pos="8306"/>
        </w:tabs>
        <w:spacing w:line="560" w:lineRule="exact"/>
        <w:ind w:firstLine="640" w:firstLineChars="200"/>
        <w:rPr>
          <w:rStyle w:val="28"/>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38"/>
      <w:bookmarkEnd w:id="39"/>
      <w:r>
        <w:rPr>
          <w:rStyle w:val="28"/>
          <w:rFonts w:ascii="黑体" w:hAnsi="黑体" w:eastAsia="黑体"/>
          <w:b w:val="0"/>
        </w:rPr>
        <w:tab/>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年一般公共预算财政拨款基本支出1</w:t>
      </w:r>
      <w:r>
        <w:rPr>
          <w:rFonts w:hint="eastAsia" w:ascii="仿宋_GB2312" w:hAnsi="仿宋_GB2312" w:eastAsia="仿宋_GB2312" w:cs="仿宋_GB2312"/>
          <w:color w:val="000000"/>
          <w:sz w:val="32"/>
          <w:szCs w:val="32"/>
          <w:lang w:val="en-US" w:eastAsia="zh-CN"/>
        </w:rPr>
        <w:t>28.34</w:t>
      </w:r>
      <w:r>
        <w:rPr>
          <w:rFonts w:hint="eastAsia" w:ascii="仿宋_GB2312" w:hAnsi="仿宋_GB2312" w:eastAsia="仿宋_GB2312" w:cs="仿宋_GB2312"/>
          <w:color w:val="000000"/>
          <w:sz w:val="32"/>
          <w:szCs w:val="32"/>
        </w:rPr>
        <w:t>万元，其中：</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85.39</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w:t>
      </w:r>
      <w:r>
        <w:rPr>
          <w:rFonts w:hint="eastAsia" w:ascii="仿宋_GB2312" w:hAnsi="仿宋_GB2312" w:eastAsia="仿宋_GB2312" w:cs="仿宋_GB2312"/>
          <w:color w:val="000000"/>
          <w:sz w:val="32"/>
          <w:szCs w:val="32"/>
          <w:lang w:val="en-US" w:eastAsia="zh-CN"/>
        </w:rPr>
        <w:t>42.95</w:t>
      </w:r>
      <w:r>
        <w:rPr>
          <w:rFonts w:hint="eastAsia" w:ascii="仿宋_GB2312" w:hAnsi="仿宋_GB2312" w:eastAsia="仿宋_GB2312" w:cs="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firstLineChars="200"/>
        <w:rPr>
          <w:rStyle w:val="28"/>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0"/>
      <w:bookmarkEnd w:id="41"/>
    </w:p>
    <w:p>
      <w:pPr>
        <w:spacing w:line="560" w:lineRule="exact"/>
        <w:ind w:firstLine="643" w:firstLineChars="200"/>
        <w:rPr>
          <w:rFonts w:ascii="楷体" w:hAnsi="楷体" w:eastAsia="楷体" w:cs="楷体"/>
          <w:b/>
          <w:color w:val="000000"/>
          <w:sz w:val="32"/>
          <w:szCs w:val="32"/>
        </w:rPr>
      </w:pPr>
      <w:bookmarkStart w:id="42" w:name="_Toc15377216"/>
      <w:r>
        <w:rPr>
          <w:rFonts w:hint="eastAsia" w:ascii="楷体" w:hAnsi="楷体" w:eastAsia="楷体" w:cs="楷体"/>
          <w:b/>
          <w:color w:val="000000"/>
          <w:sz w:val="32"/>
          <w:szCs w:val="32"/>
        </w:rPr>
        <w:t>（一）“三公”经费财政拨款支出决算总体情况说明</w:t>
      </w:r>
      <w:bookmarkEnd w:id="42"/>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年“三公”经费财政拨款支出决算为0.</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万元，完成预算100%。</w:t>
      </w:r>
    </w:p>
    <w:p>
      <w:pPr>
        <w:spacing w:line="560" w:lineRule="exact"/>
        <w:ind w:firstLine="643" w:firstLineChars="200"/>
        <w:rPr>
          <w:rFonts w:ascii="楷体" w:hAnsi="楷体" w:eastAsia="楷体" w:cs="楷体"/>
          <w:b/>
          <w:color w:val="000000"/>
          <w:sz w:val="32"/>
          <w:szCs w:val="32"/>
        </w:rPr>
      </w:pPr>
      <w:bookmarkStart w:id="43" w:name="_Toc15377217"/>
      <w:r>
        <w:rPr>
          <w:rFonts w:hint="eastAsia" w:ascii="楷体" w:hAnsi="楷体" w:eastAsia="楷体" w:cs="楷体"/>
          <w:b/>
          <w:color w:val="000000"/>
          <w:sz w:val="32"/>
          <w:szCs w:val="32"/>
        </w:rPr>
        <w:t>（二）“三公”经费财政拨款支出决算具体情况说明</w:t>
      </w:r>
      <w:bookmarkEnd w:id="4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2019年“三公”经费财政拨款支出决算中，因公出国（境）费支出决算0万元，占0%；公务用车购置及运行维护费支出决算0万元，占0%；公务接待费支出决算0.</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万元，占100%。具体情况如下：</w:t>
      </w:r>
    </w:p>
    <w:p>
      <w:pPr>
        <w:spacing w:line="240" w:lineRule="auto"/>
        <w:ind w:firstLine="64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lang w:eastAsia="zh-CN"/>
        </w:rPr>
        <w:drawing>
          <wp:inline distT="0" distB="0" distL="114300" distR="114300">
            <wp:extent cx="4584065" cy="2755265"/>
            <wp:effectExtent l="0" t="0" r="6985" b="6985"/>
            <wp:docPr id="9" name="图片 9"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8"/>
                    <pic:cNvPicPr>
                      <a:picLocks noChangeAspect="1"/>
                    </pic:cNvPicPr>
                  </pic:nvPicPr>
                  <pic:blipFill>
                    <a:blip r:embed="rId13"/>
                    <a:stretch>
                      <a:fillRect/>
                    </a:stretch>
                  </pic:blipFill>
                  <pic:spPr>
                    <a:xfrm>
                      <a:off x="0" y="0"/>
                      <a:ext cx="4584065" cy="2755265"/>
                    </a:xfrm>
                    <a:prstGeom prst="rect">
                      <a:avLst/>
                    </a:prstGeom>
                  </pic:spPr>
                </pic:pic>
              </a:graphicData>
            </a:graphic>
          </wp:inline>
        </w:drawing>
      </w:r>
    </w:p>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图8</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0万元，</w:t>
      </w:r>
      <w:r>
        <w:rPr>
          <w:rStyle w:val="17"/>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全年安排因公出国（境）团组0次，出国（境）0人。因公出国（境）支出决算比201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年增加/减少0万元，增长/下降0%。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开支内容包括：无（团组名称、出访地点、取得成效）等。</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w:t>
      </w:r>
      <w:r>
        <w:rPr>
          <w:rStyle w:val="17"/>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公务用车购置及运行维护费支出决算比201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年增加/减少0万元，增长/下降0%。主要原因是本单位无公务用车编制，本单位公务用车为县委所有。</w:t>
      </w:r>
    </w:p>
    <w:p>
      <w:pPr>
        <w:spacing w:line="56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rPr>
        <w:t>0万元。全年按规定更新购置公务用车0辆，其中：轿车0辆、金额0万元，越野车0辆、金额0万元，载客汽车0辆、金额0万元，主要用于无。截至2019年12月底，单位共有公务用车0辆，其中：轿车0辆、越野车0辆、载客汽车0辆。</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0万元。主要用于…（具体工作）等所需的公务用车燃料费、维修费、过路过桥费、保险费等支出。</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w:t>
      </w:r>
      <w:r>
        <w:rPr>
          <w:rStyle w:val="17"/>
          <w:rFonts w:hint="eastAsia" w:ascii="仿宋_GB2312" w:hAnsi="仿宋_GB2312" w:eastAsia="仿宋_GB2312" w:cs="仿宋_GB2312"/>
          <w:b w:val="0"/>
          <w:bCs/>
          <w:color w:val="000000"/>
          <w:sz w:val="32"/>
          <w:szCs w:val="32"/>
        </w:rPr>
        <w:t>完成预算</w:t>
      </w:r>
      <w:r>
        <w:rPr>
          <w:rStyle w:val="17"/>
          <w:rFonts w:hint="eastAsia" w:ascii="仿宋_GB2312" w:hAnsi="仿宋_GB2312" w:eastAsia="仿宋_GB2312" w:cs="仿宋_GB2312"/>
          <w:b w:val="0"/>
          <w:bCs/>
          <w:color w:val="000000"/>
          <w:sz w:val="32"/>
          <w:szCs w:val="32"/>
          <w:lang w:val="en-US" w:eastAsia="zh-CN"/>
        </w:rPr>
        <w:t>100</w:t>
      </w:r>
      <w:r>
        <w:rPr>
          <w:rStyle w:val="17"/>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公务接待费支出决算比201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年增加0.0</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42.85</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年单位产生1次接待费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接待人数相对增加</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主要用于执行公务、开展业务活动开支的交通费、住宿费、用餐费等。国内公务接待</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人次</w:t>
      </w:r>
      <w:r>
        <w:rPr>
          <w:rFonts w:hint="eastAsia" w:ascii="仿宋_GB2312" w:hAnsi="仿宋_GB2312" w:eastAsia="仿宋_GB2312" w:cs="仿宋_GB2312"/>
          <w:color w:val="000000"/>
          <w:sz w:val="32"/>
          <w:szCs w:val="32"/>
        </w:rPr>
        <w:t>（不包括陪同人员），共计支出</w:t>
      </w:r>
      <w:r>
        <w:rPr>
          <w:rFonts w:hint="eastAsia" w:ascii="仿宋_GB2312" w:hAnsi="仿宋_GB2312" w:eastAsia="仿宋_GB2312" w:cs="仿宋_GB2312"/>
          <w:color w:val="000000"/>
          <w:sz w:val="32"/>
          <w:szCs w:val="32"/>
          <w:lang w:val="en-US" w:eastAsia="zh-CN"/>
        </w:rPr>
        <w:t>0.1</w:t>
      </w:r>
      <w:r>
        <w:rPr>
          <w:rFonts w:hint="eastAsia" w:ascii="仿宋_GB2312" w:hAnsi="仿宋_GB2312" w:eastAsia="仿宋_GB2312" w:cs="仿宋_GB2312"/>
          <w:color w:val="000000"/>
          <w:sz w:val="32"/>
          <w:szCs w:val="32"/>
        </w:rPr>
        <w:t>万元，具体内容包括：</w:t>
      </w:r>
      <w:r>
        <w:rPr>
          <w:rFonts w:hint="eastAsia" w:ascii="仿宋_GB2312" w:hAnsi="仿宋_GB2312" w:eastAsia="仿宋_GB2312" w:cs="仿宋_GB2312"/>
          <w:color w:val="000000"/>
          <w:sz w:val="32"/>
          <w:szCs w:val="32"/>
          <w:lang w:val="en-US" w:eastAsia="zh-CN"/>
        </w:rPr>
        <w:t>成渝地区双城经济圈团干部实训基地挂牌仪式人员用餐费0.1万元</w:t>
      </w:r>
      <w:r>
        <w:rPr>
          <w:rFonts w:hint="eastAsia" w:ascii="仿宋_GB2312" w:hAnsi="仿宋_GB2312" w:eastAsia="仿宋_GB2312" w:cs="仿宋_GB2312"/>
          <w:color w:val="000000"/>
          <w:sz w:val="32"/>
          <w:szCs w:val="32"/>
        </w:rPr>
        <w:t>（接待具体项目、金额）。其中：</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（1）外事接待支出</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themeColor="text1"/>
          <w:sz w:val="32"/>
          <w:szCs w:val="32"/>
          <w14:textFill>
            <w14:solidFill>
              <w14:schemeClr w14:val="tx1"/>
            </w14:solidFill>
          </w14:textFill>
        </w:rPr>
        <w:t>，外事接待0批次，0人，共计支出0万元，主要用于接待无（具体项目）。</w:t>
      </w:r>
    </w:p>
    <w:p>
      <w:pPr>
        <w:spacing w:line="560" w:lineRule="exact"/>
        <w:ind w:firstLine="640" w:firstLineChars="200"/>
        <w:rPr>
          <w:rStyle w:val="28"/>
          <w:rFonts w:ascii="黑体" w:hAnsi="黑体" w:eastAsia="黑体"/>
        </w:rPr>
      </w:pPr>
      <w:bookmarkStart w:id="44" w:name="_Toc15377218"/>
      <w:bookmarkStart w:id="45" w:name="_Toc15396610"/>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4"/>
      <w:bookmarkEnd w:id="45"/>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年政府性基金预算拨款支出0万元。</w:t>
      </w:r>
    </w:p>
    <w:p>
      <w:pPr>
        <w:numPr>
          <w:ilvl w:val="0"/>
          <w:numId w:val="1"/>
        </w:numPr>
        <w:spacing w:line="560" w:lineRule="exact"/>
        <w:ind w:firstLine="640" w:firstLineChars="200"/>
        <w:rPr>
          <w:rStyle w:val="28"/>
          <w:rFonts w:ascii="黑体" w:hAnsi="黑体" w:eastAsia="黑体"/>
          <w:b w:val="0"/>
        </w:rPr>
      </w:pPr>
      <w:bookmarkStart w:id="46" w:name="_Toc15377219"/>
      <w:bookmarkStart w:id="47" w:name="_Toc15396611"/>
      <w:r>
        <w:rPr>
          <w:rStyle w:val="28"/>
          <w:rFonts w:hint="eastAsia" w:ascii="黑体" w:hAnsi="黑体" w:eastAsia="黑体"/>
          <w:b w:val="0"/>
        </w:rPr>
        <w:t>国有资本经营预算支出决算情况说明</w:t>
      </w:r>
      <w:bookmarkEnd w:id="46"/>
      <w:bookmarkEnd w:id="47"/>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年国有资本经营预算拨款支出0万元。</w:t>
      </w:r>
    </w:p>
    <w:p>
      <w:pPr>
        <w:spacing w:line="560" w:lineRule="exact"/>
        <w:ind w:firstLine="643" w:firstLineChars="200"/>
        <w:rPr>
          <w:rStyle w:val="28"/>
          <w:rFonts w:ascii="黑体" w:hAnsi="黑体" w:eastAsia="黑体"/>
          <w:b w:val="0"/>
        </w:rPr>
      </w:pPr>
      <w:r>
        <w:rPr>
          <w:rFonts w:hint="eastAsia" w:ascii="黑体" w:hAnsi="黑体" w:eastAsia="黑体"/>
          <w:b/>
          <w:color w:val="000000"/>
          <w:sz w:val="32"/>
          <w:szCs w:val="32"/>
        </w:rPr>
        <w:t>十</w:t>
      </w:r>
      <w:r>
        <w:rPr>
          <w:rStyle w:val="28"/>
          <w:rFonts w:hint="eastAsia" w:ascii="黑体" w:hAnsi="黑体" w:eastAsia="黑体"/>
          <w:b w:val="0"/>
        </w:rPr>
        <w:t>、其他重要事项的情况说明</w:t>
      </w:r>
    </w:p>
    <w:p>
      <w:pPr>
        <w:spacing w:line="560" w:lineRule="exact"/>
        <w:ind w:firstLine="643" w:firstLineChars="200"/>
        <w:rPr>
          <w:rFonts w:ascii="楷体" w:hAnsi="楷体" w:eastAsia="楷体" w:cs="楷体"/>
          <w:color w:val="000000"/>
          <w:sz w:val="32"/>
          <w:szCs w:val="32"/>
        </w:rPr>
      </w:pPr>
      <w:r>
        <w:rPr>
          <w:rFonts w:hint="eastAsia" w:ascii="楷体" w:hAnsi="楷体" w:eastAsia="楷体" w:cs="楷体"/>
          <w:b/>
          <w:color w:val="000000"/>
          <w:sz w:val="32"/>
          <w:szCs w:val="32"/>
        </w:rPr>
        <w:t>（一）机关运行经费支出情况</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年，团县委机关运行经费支出</w:t>
      </w:r>
      <w:r>
        <w:rPr>
          <w:rFonts w:hint="eastAsia" w:ascii="仿宋_GB2312" w:eastAsia="仿宋_GB2312"/>
          <w:color w:val="000000"/>
          <w:sz w:val="32"/>
          <w:szCs w:val="32"/>
          <w:highlight w:val="none"/>
          <w:lang w:val="en-US" w:eastAsia="zh-CN"/>
        </w:rPr>
        <w:t>42.95</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63.26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减少20.31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减少32.1</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主要原因</w:t>
      </w:r>
      <w:r>
        <w:rPr>
          <w:rFonts w:hint="eastAsia"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rPr>
        <w:t>年度青少年相关活动开展相对</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，费用相对</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（数据来源</w:t>
      </w:r>
      <w:r>
        <w:rPr>
          <w:rFonts w:hint="eastAsia" w:ascii="仿宋" w:hAnsi="仿宋" w:eastAsia="仿宋"/>
          <w:b/>
          <w:color w:val="auto"/>
          <w:sz w:val="32"/>
          <w:szCs w:val="32"/>
        </w:rPr>
        <w:t>财决附</w:t>
      </w:r>
      <w:r>
        <w:rPr>
          <w:rFonts w:ascii="仿宋" w:hAnsi="仿宋" w:eastAsia="仿宋"/>
          <w:b/>
          <w:color w:val="auto"/>
          <w:sz w:val="32"/>
          <w:szCs w:val="32"/>
        </w:rPr>
        <w:t>03</w:t>
      </w:r>
      <w:r>
        <w:rPr>
          <w:rFonts w:hint="eastAsia" w:ascii="仿宋" w:hAnsi="仿宋" w:eastAsia="仿宋"/>
          <w:b/>
          <w:color w:val="auto"/>
          <w:sz w:val="32"/>
          <w:szCs w:val="32"/>
        </w:rPr>
        <w:t>表</w:t>
      </w:r>
      <w:r>
        <w:rPr>
          <w:rFonts w:hint="eastAsia" w:ascii="仿宋" w:hAnsi="仿宋" w:eastAsia="仿宋"/>
          <w:b/>
          <w:color w:val="000000"/>
          <w:sz w:val="32"/>
          <w:szCs w:val="32"/>
        </w:rPr>
        <w:t>）</w:t>
      </w:r>
    </w:p>
    <w:p>
      <w:pPr>
        <w:autoSpaceDE w:val="0"/>
        <w:autoSpaceDN w:val="0"/>
        <w:adjustRightInd w:val="0"/>
        <w:spacing w:line="56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（二）政府采购支出情况</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年，政府采购支出总额0万元，其中：政府采购货物支出0万元、政府采购工程支出0万元、政府采购服务支出0万元。主要用于无（具体工作）。授予中小企业合同金额0万元，占政府采购支出总额的0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（数据来源</w:t>
      </w:r>
      <w:r>
        <w:rPr>
          <w:rFonts w:hint="eastAsia" w:ascii="仿宋" w:hAnsi="仿宋" w:eastAsia="仿宋"/>
          <w:b/>
          <w:color w:val="auto"/>
          <w:sz w:val="32"/>
          <w:szCs w:val="32"/>
        </w:rPr>
        <w:t>财决附</w:t>
      </w:r>
      <w:r>
        <w:rPr>
          <w:rFonts w:ascii="仿宋" w:hAnsi="仿宋" w:eastAsia="仿宋"/>
          <w:b/>
          <w:color w:val="auto"/>
          <w:sz w:val="32"/>
          <w:szCs w:val="32"/>
        </w:rPr>
        <w:t>03</w:t>
      </w:r>
      <w:r>
        <w:rPr>
          <w:rFonts w:hint="eastAsia" w:ascii="仿宋" w:hAnsi="仿宋" w:eastAsia="仿宋"/>
          <w:b/>
          <w:color w:val="auto"/>
          <w:sz w:val="32"/>
          <w:szCs w:val="32"/>
        </w:rPr>
        <w:t>表</w:t>
      </w:r>
      <w:r>
        <w:rPr>
          <w:rFonts w:hint="eastAsia" w:ascii="仿宋" w:hAnsi="仿宋" w:eastAsia="仿宋"/>
          <w:b/>
          <w:color w:val="000000"/>
          <w:sz w:val="32"/>
          <w:szCs w:val="32"/>
        </w:rPr>
        <w:t>）</w:t>
      </w:r>
    </w:p>
    <w:p>
      <w:pPr>
        <w:autoSpaceDE w:val="0"/>
        <w:autoSpaceDN w:val="0"/>
        <w:adjustRightInd w:val="0"/>
        <w:spacing w:line="56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（三）国有资产占有使用情况</w:t>
      </w:r>
    </w:p>
    <w:p>
      <w:pPr>
        <w:autoSpaceDE w:val="0"/>
        <w:autoSpaceDN w:val="0"/>
        <w:adjustRightIn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日，团委共有车辆0辆，其中：部级领导干部用车0辆、一般公务用车0辆、一般执法执勤用车1辆、特种专业技术用车1辆、其他用车0辆，</w:t>
      </w:r>
      <w:r>
        <w:rPr>
          <w:rFonts w:hint="eastAsia" w:ascii="仿宋_GB2312" w:eastAsia="仿宋_GB2312"/>
          <w:color w:val="000000" w:themeColor="text1"/>
          <w:sz w:val="32"/>
          <w:szCs w:val="32"/>
          <w14:textFill>
            <w14:solidFill>
              <w14:schemeClr w14:val="tx1"/>
            </w14:solidFill>
          </w14:textFill>
        </w:rPr>
        <w:t>其他用车主要是用于无，单价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万元以上专用设备0台（套），本单位公务用车为县委所有，只是本单位在使用，所以决算数为0.</w:t>
      </w:r>
    </w:p>
    <w:p>
      <w:pPr>
        <w:autoSpaceDE w:val="0"/>
        <w:autoSpaceDN w:val="0"/>
        <w:adjustRightInd w:val="0"/>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（数据来源财决</w:t>
      </w:r>
      <w:r>
        <w:rPr>
          <w:rFonts w:hint="eastAsia" w:ascii="仿宋" w:hAnsi="仿宋" w:eastAsia="仿宋"/>
          <w:b/>
          <w:color w:val="auto"/>
          <w:sz w:val="32"/>
          <w:szCs w:val="32"/>
        </w:rPr>
        <w:t>财决附</w:t>
      </w:r>
      <w:r>
        <w:rPr>
          <w:rFonts w:ascii="仿宋" w:hAnsi="仿宋" w:eastAsia="仿宋"/>
          <w:b/>
          <w:color w:val="auto"/>
          <w:sz w:val="32"/>
          <w:szCs w:val="32"/>
        </w:rPr>
        <w:t>03</w:t>
      </w:r>
      <w:r>
        <w:rPr>
          <w:rFonts w:hint="eastAsia" w:ascii="仿宋" w:hAnsi="仿宋" w:eastAsia="仿宋"/>
          <w:b/>
          <w:color w:val="auto"/>
          <w:sz w:val="32"/>
          <w:szCs w:val="32"/>
        </w:rPr>
        <w:t>表</w:t>
      </w:r>
      <w:r>
        <w:rPr>
          <w:rFonts w:hint="eastAsia" w:ascii="仿宋" w:hAnsi="仿宋" w:eastAsia="仿宋"/>
          <w:b/>
          <w:color w:val="000000"/>
          <w:sz w:val="32"/>
          <w:szCs w:val="32"/>
        </w:rPr>
        <w:t>，按部门决算报表填报数据罗列车辆情况。）</w:t>
      </w:r>
    </w:p>
    <w:p>
      <w:pPr>
        <w:autoSpaceDE w:val="0"/>
        <w:autoSpaceDN w:val="0"/>
        <w:adjustRightInd w:val="0"/>
        <w:spacing w:line="560" w:lineRule="exact"/>
        <w:ind w:firstLine="643" w:firstLineChars="200"/>
        <w:rPr>
          <w:rFonts w:ascii="仿宋" w:hAnsi="仿宋" w:eastAsia="仿宋"/>
          <w:b/>
          <w:color w:val="000000"/>
          <w:sz w:val="32"/>
          <w:szCs w:val="32"/>
        </w:rPr>
      </w:pPr>
    </w:p>
    <w:p>
      <w:pPr>
        <w:pStyle w:val="26"/>
        <w:spacing w:line="560" w:lineRule="exact"/>
        <w:ind w:firstLine="640"/>
        <w:rPr>
          <w:rStyle w:val="28"/>
          <w:rFonts w:ascii="黑体" w:hAnsi="黑体" w:eastAsia="黑体"/>
          <w:b w:val="0"/>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w:t>
      </w:r>
      <w:r>
        <w:rPr>
          <w:rStyle w:val="28"/>
          <w:rFonts w:hint="eastAsia" w:ascii="黑体" w:hAnsi="黑体" w:eastAsia="黑体"/>
          <w:b w:val="0"/>
        </w:rPr>
        <w:t>预算绩效情况说明</w:t>
      </w:r>
    </w:p>
    <w:p>
      <w:pPr>
        <w:spacing w:line="560" w:lineRule="exact"/>
        <w:ind w:left="643"/>
        <w:rPr>
          <w:rFonts w:ascii="楷体" w:hAnsi="楷体" w:eastAsia="楷体" w:cs="楷体"/>
          <w:b/>
          <w:bCs/>
          <w:sz w:val="32"/>
          <w:szCs w:val="32"/>
        </w:rPr>
      </w:pPr>
      <w:r>
        <w:rPr>
          <w:rFonts w:hint="eastAsia" w:ascii="楷体" w:hAnsi="楷体" w:eastAsia="楷体" w:cs="楷体"/>
          <w:b/>
          <w:bCs/>
          <w:sz w:val="32"/>
          <w:szCs w:val="32"/>
        </w:rPr>
        <w:t>（一）预算绩效管理工作开展情况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按照预算绩要求，本部门对20</w:t>
      </w:r>
      <w:r>
        <w:rPr>
          <w:rFonts w:hint="eastAsia" w:ascii="仿宋_GB2312" w:eastAsia="仿宋_GB2312"/>
          <w:sz w:val="32"/>
          <w:szCs w:val="32"/>
          <w:lang w:val="en-US" w:eastAsia="zh-CN"/>
        </w:rPr>
        <w:t>20</w:t>
      </w:r>
      <w:r>
        <w:rPr>
          <w:rFonts w:hint="eastAsia" w:ascii="仿宋_GB2312" w:eastAsia="仿宋_GB2312"/>
          <w:sz w:val="32"/>
          <w:szCs w:val="32"/>
        </w:rPr>
        <w:t>年一般公共预算项目支出开展了绩效目标管理，共编制绩效目标</w:t>
      </w:r>
      <w:r>
        <w:rPr>
          <w:rFonts w:hint="eastAsia" w:ascii="仿宋_GB2312" w:eastAsia="仿宋_GB2312"/>
          <w:sz w:val="32"/>
          <w:szCs w:val="32"/>
          <w:lang w:val="en-US" w:eastAsia="zh-CN"/>
        </w:rPr>
        <w:t>1</w:t>
      </w:r>
      <w:r>
        <w:rPr>
          <w:rFonts w:hint="eastAsia" w:ascii="仿宋_GB2312" w:eastAsia="仿宋_GB2312"/>
          <w:sz w:val="32"/>
          <w:szCs w:val="32"/>
        </w:rPr>
        <w:t>个，因为项目资金为行政事业类项目，为推动行政事业单位工作发展的工作</w:t>
      </w:r>
      <w:r>
        <w:rPr>
          <w:rFonts w:hint="eastAsia" w:ascii="仿宋_GB2312" w:eastAsia="仿宋_GB2312"/>
          <w:sz w:val="32"/>
          <w:szCs w:val="32"/>
          <w:lang w:val="en-US" w:eastAsia="zh-CN"/>
        </w:rPr>
        <w:t>经费</w:t>
      </w:r>
      <w:r>
        <w:rPr>
          <w:rFonts w:hint="eastAsia" w:ascii="仿宋_GB2312" w:eastAsia="仿宋_GB2312"/>
          <w:sz w:val="32"/>
          <w:szCs w:val="32"/>
        </w:rPr>
        <w:t>。</w:t>
      </w:r>
    </w:p>
    <w:p>
      <w:pPr>
        <w:numPr>
          <w:ilvl w:val="0"/>
          <w:numId w:val="2"/>
        </w:num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highlight w:val="none"/>
        </w:rPr>
        <w:t>项目绩效目标完成情况</w:t>
      </w:r>
      <w:r>
        <w:rPr>
          <w:rFonts w:hint="eastAsia" w:ascii="楷体_GB2312" w:hAnsi="楷体_GB2312" w:eastAsia="楷体_GB2312" w:cs="楷体_GB2312"/>
          <w:b/>
          <w:bCs/>
          <w:sz w:val="32"/>
          <w:szCs w:val="32"/>
          <w:highlight w:val="none"/>
        </w:rPr>
        <w:br w:type="textWrapping"/>
      </w:r>
      <w:r>
        <w:rPr>
          <w:rFonts w:hint="eastAsia" w:ascii="仿宋_GB2312" w:hAnsi="仿宋_GB2312" w:eastAsia="仿宋_GB2312" w:cs="仿宋_GB2312"/>
          <w:sz w:val="32"/>
          <w:szCs w:val="32"/>
          <w:highlight w:val="none"/>
        </w:rPr>
        <w:t xml:space="preserve">    本部门</w:t>
      </w:r>
      <w:r>
        <w:rPr>
          <w:rFonts w:hint="eastAsia"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2020年阿坝州文化和旅旅游既全域旅游发展大会志愿者工作经费”</w:t>
      </w:r>
      <w:r>
        <w:rPr>
          <w:rFonts w:hint="eastAsia" w:ascii="仿宋_GB2312" w:hAnsi="仿宋_GB2312" w:eastAsia="仿宋_GB2312" w:cs="仿宋_GB2312"/>
          <w:sz w:val="32"/>
          <w:szCs w:val="32"/>
          <w:lang w:val="en-US" w:eastAsia="zh-CN"/>
        </w:rPr>
        <w:t>进行了</w:t>
      </w:r>
      <w:r>
        <w:rPr>
          <w:rFonts w:hint="eastAsia" w:ascii="仿宋_GB2312" w:hAnsi="仿宋_GB2312" w:eastAsia="仿宋_GB2312" w:cs="仿宋_GB2312"/>
          <w:sz w:val="32"/>
          <w:szCs w:val="32"/>
        </w:rPr>
        <w:t>项目绩效目标实际完成情况</w:t>
      </w:r>
      <w:r>
        <w:rPr>
          <w:rFonts w:hint="eastAsia" w:ascii="仿宋_GB2312" w:hAnsi="仿宋_GB2312" w:eastAsia="仿宋_GB2312" w:cs="仿宋_GB2312"/>
          <w:sz w:val="32"/>
          <w:szCs w:val="32"/>
          <w:lang w:val="en-US" w:eastAsia="zh-CN"/>
        </w:rPr>
        <w:t>评价工作.</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1.“</w:t>
      </w:r>
      <w:r>
        <w:rPr>
          <w:rFonts w:hint="eastAsia" w:ascii="楷体" w:hAnsi="楷体" w:eastAsia="楷体" w:cs="楷体"/>
          <w:b/>
          <w:bCs/>
          <w:sz w:val="32"/>
          <w:szCs w:val="32"/>
          <w:highlight w:val="none"/>
          <w:lang w:val="zh-CN"/>
        </w:rPr>
        <w:t>2020年阿坝州文化和旅旅游既全域旅游发展大会志愿者工作经费</w:t>
      </w:r>
      <w:r>
        <w:rPr>
          <w:rFonts w:hint="eastAsia" w:ascii="仿宋_GB2312" w:hAnsi="仿宋_GB2312" w:eastAsia="仿宋_GB2312" w:cs="仿宋_GB2312"/>
          <w:b/>
          <w:bCs/>
          <w:sz w:val="32"/>
          <w:szCs w:val="32"/>
        </w:rPr>
        <w:t>”项目绩效目标完成情况综述。</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年项目全年预算数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5.93</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年完成预算的</w:t>
      </w:r>
      <w:r>
        <w:rPr>
          <w:rFonts w:hint="eastAsia" w:ascii="仿宋_GB2312" w:hAnsi="仿宋_GB2312" w:eastAsia="仿宋_GB2312" w:cs="仿宋_GB2312"/>
          <w:sz w:val="32"/>
          <w:szCs w:val="32"/>
          <w:lang w:val="en-US" w:eastAsia="zh-CN"/>
        </w:rPr>
        <w:t>65.89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资金开支范围</w:t>
      </w:r>
      <w:r>
        <w:rPr>
          <w:rFonts w:hint="eastAsia" w:ascii="仿宋_GB2312" w:hAnsi="仿宋_GB2312" w:eastAsia="仿宋_GB2312" w:cs="仿宋_GB2312"/>
          <w:sz w:val="32"/>
          <w:szCs w:val="32"/>
          <w:lang w:val="en-US" w:eastAsia="zh-CN"/>
        </w:rPr>
        <w:t>主要是用于文旅大会期间志愿者培训讲师劳务费、志愿者的补助费、活动期间药物购买费等志愿服务活动相关费用支出</w:t>
      </w:r>
      <w:r>
        <w:rPr>
          <w:rFonts w:hint="eastAsia" w:ascii="仿宋_GB2312" w:hAnsi="仿宋_GB2312" w:eastAsia="仿宋_GB2312" w:cs="仿宋_GB2312"/>
          <w:sz w:val="32"/>
          <w:szCs w:val="32"/>
          <w:lang w:val="zh-CN"/>
        </w:rPr>
        <w:t>，支付依据合规合法，资金支付与预算相符。</w:t>
      </w:r>
      <w:r>
        <w:rPr>
          <w:rFonts w:hint="eastAsia" w:ascii="仿宋_GB2312" w:hAnsi="仿宋_GB2312" w:eastAsia="仿宋_GB2312" w:cs="仿宋_GB2312"/>
          <w:sz w:val="32"/>
          <w:szCs w:val="32"/>
          <w:lang w:val="en-US" w:eastAsia="zh-CN"/>
        </w:rPr>
        <w:t>结余资金为3.07万元，计划用于待支付的志愿者活动相关工作费用支出</w:t>
      </w:r>
      <w:r>
        <w:rPr>
          <w:rFonts w:hint="eastAsia" w:ascii="仿宋_GB2312" w:hAnsi="仿宋_GB2312" w:eastAsia="仿宋_GB2312" w:cs="仿宋_GB2312"/>
          <w:sz w:val="32"/>
          <w:szCs w:val="32"/>
          <w:lang w:val="zh-CN"/>
        </w:rPr>
        <w:t>。</w:t>
      </w:r>
    </w:p>
    <w:p>
      <w:pPr>
        <w:numPr>
          <w:ilvl w:val="0"/>
          <w:numId w:val="0"/>
        </w:numPr>
        <w:adjustRightInd w:val="0"/>
        <w:snapToGrid w:val="0"/>
        <w:spacing w:line="600" w:lineRule="exact"/>
        <w:ind w:firstLine="640" w:firstLineChars="200"/>
        <w:rPr>
          <w:rFonts w:hint="eastAsia" w:ascii="仿宋_GB2312" w:hAnsi="Adobe 楷体 Std R" w:eastAsia="仿宋_GB2312"/>
          <w:sz w:val="32"/>
          <w:szCs w:val="32"/>
          <w:lang w:eastAsia="zh-CN"/>
        </w:rPr>
      </w:pPr>
      <w:r>
        <w:rPr>
          <w:rFonts w:hint="eastAsia" w:ascii="仿宋_GB2312" w:hAnsi="仿宋_GB2312" w:eastAsia="仿宋_GB2312" w:cs="仿宋_GB2312"/>
          <w:sz w:val="32"/>
          <w:szCs w:val="32"/>
          <w:lang w:val="en-US" w:eastAsia="zh-CN"/>
        </w:rPr>
        <w:t>本次活动</w:t>
      </w:r>
      <w:r>
        <w:rPr>
          <w:rFonts w:hint="default"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eastAsia="zh-CN"/>
        </w:rPr>
        <w:t>所有</w:t>
      </w:r>
      <w:r>
        <w:rPr>
          <w:rFonts w:hint="default" w:ascii="仿宋_GB2312" w:hAnsi="仿宋_GB2312" w:eastAsia="仿宋_GB2312" w:cs="仿宋_GB2312"/>
          <w:sz w:val="32"/>
          <w:szCs w:val="32"/>
          <w:lang w:val="en-US" w:eastAsia="zh-CN"/>
        </w:rPr>
        <w:t>嘉宾实行一对一</w:t>
      </w:r>
      <w:r>
        <w:rPr>
          <w:rFonts w:hint="eastAsia" w:ascii="仿宋_GB2312" w:hAnsi="仿宋_GB2312" w:eastAsia="仿宋_GB2312" w:cs="仿宋_GB2312"/>
          <w:sz w:val="32"/>
          <w:szCs w:val="32"/>
          <w:lang w:val="en-US" w:eastAsia="zh-CN"/>
        </w:rPr>
        <w:t>接待</w:t>
      </w:r>
      <w:r>
        <w:rPr>
          <w:rFonts w:hint="default" w:ascii="仿宋_GB2312" w:hAnsi="仿宋_GB2312" w:eastAsia="仿宋_GB2312" w:cs="仿宋_GB2312"/>
          <w:sz w:val="32"/>
          <w:szCs w:val="32"/>
          <w:lang w:val="en-US" w:eastAsia="zh-CN"/>
        </w:rPr>
        <w:t>服务，做到了周全、细致、严谨、热情，实现了让参会领导和嘉宾高兴而来、满意而归，确保了会务工作万无一失</w:t>
      </w:r>
      <w:r>
        <w:rPr>
          <w:rFonts w:hint="eastAsia" w:ascii="仿宋_GB2312" w:hAnsi="仿宋_GB2312" w:cs="仿宋_GB2312"/>
          <w:sz w:val="32"/>
          <w:szCs w:val="32"/>
          <w:lang w:val="en-US" w:eastAsia="zh-CN"/>
        </w:rPr>
        <w:t>，</w:t>
      </w:r>
      <w:r>
        <w:rPr>
          <w:rFonts w:hint="eastAsia" w:ascii="仿宋_GB2312" w:hAnsi="Adobe 楷体 Std R" w:eastAsia="仿宋_GB2312"/>
          <w:sz w:val="32"/>
          <w:szCs w:val="32"/>
        </w:rPr>
        <w:t>奉献，友爱，互助，进步，这是志愿者精神，更是本次大会志愿服务的宗旨。团县委通过前期的精心组织、认真筹备、多次演练，组织志愿者们圆满完成大会志愿服务工作，集中展现了汶川青年朝气蓬勃、昂扬向上的精神风貌。下一步，团县委将继续努力，充分发挥共青团作用，为高质量创建“无忧地·慢生活”国家级旅游度假区贡献青春力量</w:t>
      </w:r>
      <w:r>
        <w:rPr>
          <w:rFonts w:hint="eastAsia" w:ascii="仿宋_GB2312" w:hAnsi="Adobe 楷体 Std R"/>
          <w:sz w:val="32"/>
          <w:szCs w:val="32"/>
          <w:lang w:eastAsia="zh-CN"/>
        </w:rPr>
        <w:t>。</w:t>
      </w:r>
    </w:p>
    <w:p>
      <w:pPr>
        <w:tabs>
          <w:tab w:val="left" w:pos="312"/>
        </w:tabs>
        <w:spacing w:line="560" w:lineRule="exact"/>
        <w:rPr>
          <w:rFonts w:ascii="仿宋_GB2312" w:hAnsi="仿宋_GB2312" w:eastAsia="仿宋_GB2312" w:cs="仿宋_GB2312"/>
          <w:sz w:val="32"/>
          <w:szCs w:val="32"/>
        </w:rPr>
      </w:pPr>
    </w:p>
    <w:tbl>
      <w:tblPr>
        <w:tblStyle w:val="15"/>
        <w:tblW w:w="10326" w:type="dxa"/>
        <w:jc w:val="center"/>
        <w:tblLayout w:type="fixed"/>
        <w:tblCellMar>
          <w:top w:w="15" w:type="dxa"/>
          <w:left w:w="15" w:type="dxa"/>
          <w:bottom w:w="15" w:type="dxa"/>
          <w:right w:w="15" w:type="dxa"/>
        </w:tblCellMar>
      </w:tblPr>
      <w:tblGrid>
        <w:gridCol w:w="1253"/>
        <w:gridCol w:w="764"/>
        <w:gridCol w:w="1048"/>
        <w:gridCol w:w="764"/>
        <w:gridCol w:w="1182"/>
        <w:gridCol w:w="1752"/>
        <w:gridCol w:w="1618"/>
        <w:gridCol w:w="1945"/>
      </w:tblGrid>
      <w:tr>
        <w:tblPrEx>
          <w:tblCellMar>
            <w:top w:w="15" w:type="dxa"/>
            <w:left w:w="15" w:type="dxa"/>
            <w:bottom w:w="15" w:type="dxa"/>
            <w:right w:w="15" w:type="dxa"/>
          </w:tblCellMar>
        </w:tblPrEx>
        <w:trPr>
          <w:trHeight w:val="285" w:hRule="atLeast"/>
          <w:jc w:val="center"/>
        </w:trPr>
        <w:tc>
          <w:tcPr>
            <w:tcW w:w="10326" w:type="dxa"/>
            <w:gridSpan w:val="8"/>
            <w:shd w:val="clear" w:color="auto" w:fill="auto"/>
            <w:vAlign w:val="center"/>
          </w:tcPr>
          <w:p>
            <w:pPr>
              <w:widowControl/>
              <w:spacing w:line="240" w:lineRule="atLeast"/>
              <w:jc w:val="center"/>
              <w:textAlignment w:val="center"/>
              <w:rPr>
                <w:rFonts w:ascii="黑体" w:hAnsi="黑体" w:eastAsia="黑体" w:cs="黑体"/>
                <w:bCs/>
                <w:color w:val="000000"/>
                <w:kern w:val="0"/>
                <w:sz w:val="36"/>
                <w:szCs w:val="36"/>
              </w:rPr>
            </w:pPr>
            <w:r>
              <w:rPr>
                <w:rFonts w:hint="eastAsia" w:ascii="黑体" w:hAnsi="黑体" w:eastAsia="黑体" w:cs="黑体"/>
                <w:bCs/>
                <w:color w:val="000000"/>
                <w:kern w:val="0"/>
                <w:sz w:val="36"/>
                <w:szCs w:val="36"/>
              </w:rPr>
              <w:t>项目支出绩效目标完成情况表（1）</w:t>
            </w:r>
          </w:p>
          <w:p>
            <w:pPr>
              <w:widowControl/>
              <w:spacing w:line="240" w:lineRule="atLeast"/>
              <w:jc w:val="center"/>
              <w:textAlignment w:val="center"/>
              <w:rPr>
                <w:rFonts w:ascii="宋体" w:hAnsi="宋体" w:cs="宋体"/>
                <w:b/>
                <w:color w:val="000000"/>
                <w:sz w:val="24"/>
              </w:rPr>
            </w:pPr>
            <w:r>
              <w:rPr>
                <w:rFonts w:hint="eastAsia" w:ascii="黑体" w:hAnsi="黑体" w:eastAsia="黑体" w:cs="黑体"/>
                <w:bCs/>
                <w:color w:val="000000"/>
                <w:kern w:val="0"/>
                <w:sz w:val="36"/>
                <w:szCs w:val="36"/>
              </w:rPr>
              <w:t>（20</w:t>
            </w:r>
            <w:r>
              <w:rPr>
                <w:rFonts w:hint="eastAsia" w:ascii="黑体" w:hAnsi="黑体" w:eastAsia="黑体" w:cs="黑体"/>
                <w:bCs/>
                <w:color w:val="000000"/>
                <w:kern w:val="0"/>
                <w:sz w:val="36"/>
                <w:szCs w:val="36"/>
                <w:lang w:val="en-US" w:eastAsia="zh-CN"/>
              </w:rPr>
              <w:t>20</w:t>
            </w:r>
            <w:r>
              <w:rPr>
                <w:rFonts w:hint="eastAsia" w:ascii="黑体" w:hAnsi="黑体" w:eastAsia="黑体" w:cs="黑体"/>
                <w:bCs/>
                <w:color w:val="000000"/>
                <w:kern w:val="0"/>
                <w:sz w:val="36"/>
                <w:szCs w:val="36"/>
              </w:rPr>
              <w:t>年度）</w:t>
            </w:r>
          </w:p>
        </w:tc>
      </w:tr>
      <w:tr>
        <w:tblPrEx>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2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2020年阿坝州文化和旅旅游既全域旅游发展大会志愿者工作经费</w:t>
            </w:r>
          </w:p>
        </w:tc>
      </w:tr>
      <w:tr>
        <w:tblPrEx>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预算单位</w:t>
            </w:r>
          </w:p>
        </w:tc>
        <w:tc>
          <w:tcPr>
            <w:tcW w:w="72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共青团汶川县委员会</w:t>
            </w:r>
          </w:p>
        </w:tc>
      </w:tr>
      <w:tr>
        <w:tblPrEx>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预算数:</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w:t>
            </w:r>
            <w:r>
              <w:rPr>
                <w:rFonts w:hint="eastAsia" w:ascii="仿宋_GB2312" w:hAnsi="宋体" w:eastAsia="仿宋_GB2312" w:cs="宋体"/>
                <w:color w:val="000000"/>
                <w:kern w:val="0"/>
                <w:sz w:val="24"/>
              </w:rPr>
              <w:t>万元</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执行数:</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r>
              <w:rPr>
                <w:rFonts w:hint="eastAsia" w:ascii="仿宋_GB2312" w:hAnsi="宋体" w:eastAsia="仿宋_GB2312" w:cs="宋体"/>
                <w:color w:val="000000"/>
                <w:kern w:val="0"/>
                <w:sz w:val="24"/>
                <w:lang w:val="en-US" w:eastAsia="zh-CN"/>
              </w:rPr>
              <w:t>20</w:t>
            </w:r>
            <w:r>
              <w:rPr>
                <w:rFonts w:hint="eastAsia" w:ascii="仿宋_GB2312" w:hAnsi="宋体" w:eastAsia="仿宋_GB2312" w:cs="宋体"/>
                <w:color w:val="000000"/>
                <w:kern w:val="0"/>
                <w:sz w:val="24"/>
              </w:rPr>
              <w:t>年执行</w:t>
            </w:r>
            <w:r>
              <w:rPr>
                <w:rFonts w:hint="eastAsia" w:ascii="仿宋_GB2312" w:hAnsi="宋体" w:eastAsia="仿宋_GB2312" w:cs="宋体"/>
                <w:color w:val="000000"/>
                <w:kern w:val="0"/>
                <w:sz w:val="24"/>
                <w:lang w:val="en-US" w:eastAsia="zh-CN"/>
              </w:rPr>
              <w:t>5.93</w:t>
            </w:r>
            <w:r>
              <w:rPr>
                <w:rFonts w:hint="eastAsia" w:ascii="仿宋_GB2312" w:hAnsi="宋体" w:eastAsia="仿宋_GB2312" w:cs="宋体"/>
                <w:color w:val="000000"/>
                <w:kern w:val="0"/>
                <w:sz w:val="24"/>
              </w:rPr>
              <w:t>万元</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w:t>
            </w:r>
            <w:r>
              <w:rPr>
                <w:rFonts w:hint="eastAsia" w:ascii="仿宋_GB2312" w:hAnsi="宋体" w:eastAsia="仿宋_GB2312" w:cs="宋体"/>
                <w:color w:val="000000"/>
                <w:kern w:val="0"/>
                <w:sz w:val="24"/>
              </w:rPr>
              <w:t>万元</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9</w:t>
            </w:r>
            <w:r>
              <w:rPr>
                <w:rFonts w:hint="eastAsia" w:ascii="仿宋_GB2312" w:hAnsi="宋体" w:eastAsia="仿宋_GB2312" w:cs="宋体"/>
                <w:color w:val="000000"/>
                <w:kern w:val="0"/>
                <w:sz w:val="24"/>
              </w:rPr>
              <w:t>万元</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其它资金:</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其它资金:</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r>
      <w:tr>
        <w:tblPrEx>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预期目标</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实际完成目标</w:t>
            </w:r>
          </w:p>
        </w:tc>
      </w:tr>
      <w:tr>
        <w:tblPrEx>
          <w:tblCellMar>
            <w:top w:w="15" w:type="dxa"/>
            <w:left w:w="15" w:type="dxa"/>
            <w:bottom w:w="15" w:type="dxa"/>
            <w:right w:w="15" w:type="dxa"/>
          </w:tblCellMar>
        </w:tblPrEx>
        <w:trPr>
          <w:trHeight w:val="19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2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仿宋_GB2312" w:eastAsia="仿宋_GB2312" w:cs="仿宋_GB2312"/>
                <w:sz w:val="24"/>
              </w:rPr>
              <w:t>为全力做好此次大会期间志愿服务工作，弘扬“奉献、友爱、互助、进步”志愿者精神，展示汶川青年志愿者面貌，助力汶川建成乐活、环保、休闲、养生、静居的生态康养慢生活度假区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该项资金主要用于志愿者活动期间礼仪服装制作费、人员的补助费、人员的交通费、培训场地的租赁费、常备药品、口罩等与活动相关的费用支出</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仿宋_GB2312" w:eastAsia="仿宋_GB2312" w:cs="仿宋_GB2312"/>
                <w:sz w:val="24"/>
              </w:rPr>
              <w:t>通过项目实施，</w:t>
            </w:r>
            <w:r>
              <w:rPr>
                <w:rFonts w:hint="eastAsia" w:ascii="仿宋_GB2312" w:hAnsi="仿宋_GB2312" w:eastAsia="仿宋_GB2312" w:cs="仿宋_GB2312"/>
                <w:sz w:val="24"/>
                <w:lang w:val="en-US" w:eastAsia="zh-CN"/>
              </w:rPr>
              <w:t>我委共组织了100余名志愿者，主要负责参会嘉宾“一对一”接待工作；协调做好文旅大会资料（证件）等的发放；做好乘车服务工作；负责做好欢送用语、天气和重要日程提醒短信的编发，及时提供细致、温馨、规范的服务；协助开展一切志愿服务工作</w:t>
            </w:r>
          </w:p>
        </w:tc>
      </w:tr>
      <w:tr>
        <w:tblPrEx>
          <w:tblCellMar>
            <w:top w:w="15" w:type="dxa"/>
            <w:left w:w="15" w:type="dxa"/>
            <w:bottom w:w="15" w:type="dxa"/>
            <w:right w:w="15" w:type="dxa"/>
          </w:tblCellMar>
        </w:tblPrEx>
        <w:trPr>
          <w:trHeight w:val="56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绩效指标完成情况</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一级指标</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二级指标</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三级指标</w:t>
            </w:r>
          </w:p>
        </w:tc>
        <w:tc>
          <w:tcPr>
            <w:tcW w:w="29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指标评价内容</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预期指标值(包含数字及文字描述)</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实际完成指标值(包含数字及文字描述)</w:t>
            </w:r>
          </w:p>
        </w:tc>
      </w:tr>
      <w:tr>
        <w:tblPrEx>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r>
      <w:tr>
        <w:tblPrEx>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项目决策</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绩效目标</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目标内容</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项目预期提供的产品、服务、效益或其他目标明确,即绩效目标实际明确个数/应当明确个数×100%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r>
      <w:tr>
        <w:tblPrEx>
          <w:tblCellMar>
            <w:top w:w="15" w:type="dxa"/>
            <w:left w:w="15" w:type="dxa"/>
            <w:bottom w:w="15" w:type="dxa"/>
            <w:right w:w="15" w:type="dxa"/>
          </w:tblCellMar>
        </w:tblPrEx>
        <w:trPr>
          <w:trHeight w:val="64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进度计划</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项目计划实施进度明确</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明确</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明确</w:t>
            </w:r>
          </w:p>
        </w:tc>
      </w:tr>
      <w:tr>
        <w:tblPrEx>
          <w:tblCellMar>
            <w:top w:w="15" w:type="dxa"/>
            <w:left w:w="15" w:type="dxa"/>
            <w:bottom w:w="15" w:type="dxa"/>
            <w:right w:w="15" w:type="dxa"/>
          </w:tblCellMar>
        </w:tblPrEx>
        <w:trPr>
          <w:trHeight w:val="69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目标匹配</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绩效目标设定符合实际需求的抽样项目点个数/抽样项目点总数×100%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决策依据</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政策依据</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项目符合党中央、国务院和省委、省政府决策部署；符合当前经济社会发展需要</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实施规划</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连续性项目根据需要制定中长期实施规划</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有</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有</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实施规划符合实际，并根据情况变化适时调整</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管理制度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制定项目资金管理办法</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是</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是</w:t>
            </w:r>
          </w:p>
        </w:tc>
      </w:tr>
      <w:tr>
        <w:tblPrEx>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项目资金分配决策程序明确</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明确</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明确</w:t>
            </w:r>
          </w:p>
        </w:tc>
      </w:tr>
      <w:tr>
        <w:tblPrEx>
          <w:tblCellMar>
            <w:top w:w="15" w:type="dxa"/>
            <w:left w:w="15" w:type="dxa"/>
            <w:bottom w:w="15" w:type="dxa"/>
            <w:right w:w="15" w:type="dxa"/>
          </w:tblCellMar>
        </w:tblPrEx>
        <w:trPr>
          <w:trHeight w:val="82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资金分配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分配方法</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资金分配方法是否科学合理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合理</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合理</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分配过程</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分配过程符合相关规定</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分配结果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审核把关</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符合申报条件的抽样项目点个数/抽样项目点总数×100%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r>
      <w:tr>
        <w:tblPrEx>
          <w:tblCellMar>
            <w:top w:w="15" w:type="dxa"/>
            <w:left w:w="15" w:type="dxa"/>
            <w:bottom w:w="15" w:type="dxa"/>
            <w:right w:w="15" w:type="dxa"/>
          </w:tblCellMar>
        </w:tblPrEx>
        <w:trPr>
          <w:trHeight w:val="10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资金集中</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集中</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财政资金占项目资金总额比重较小项目个数/项目总数×100%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r>
      <w:tr>
        <w:tblPrEx>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（均衡）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均衡</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按实际分配结果选择客观因素测算验证资金分配方法制定、分配要素设定、基础数据应用、测算依据选取等是否科学合理（2分）</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合理</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合理</w:t>
            </w:r>
          </w:p>
        </w:tc>
      </w:tr>
      <w:tr>
        <w:tblPrEx>
          <w:tblCellMar>
            <w:top w:w="15" w:type="dxa"/>
            <w:left w:w="15" w:type="dxa"/>
            <w:bottom w:w="15" w:type="dxa"/>
            <w:right w:w="15" w:type="dxa"/>
          </w:tblCellMar>
        </w:tblPrEx>
        <w:trPr>
          <w:trHeight w:val="5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项目管理</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资金到位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分配时效</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县级主管部门按规定及时分配资金</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及时</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及时</w:t>
            </w:r>
          </w:p>
        </w:tc>
      </w:tr>
      <w:tr>
        <w:tblPrEx>
          <w:tblCellMar>
            <w:top w:w="15" w:type="dxa"/>
            <w:left w:w="15" w:type="dxa"/>
            <w:bottom w:w="15" w:type="dxa"/>
            <w:right w:w="15" w:type="dxa"/>
          </w:tblCellMar>
        </w:tblPrEx>
        <w:trPr>
          <w:trHeight w:val="11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资金拨付</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按规定及时拨付资金</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及时</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及时</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资金管理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使用范围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资金使用是否合规</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是</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是</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支付依据</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资金支付依据符合规定，即支付依旧合规资金量/资金总量×100%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开支标准</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资金开支标准符合规定，即开支标准合规资金量/资金总量×100%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r>
      <w:tr>
        <w:tblPrEx>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财务管理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财务制度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财务制度健全，管理规范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规范</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规范</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会计核算</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会计核算规范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规范</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规范</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组织实施（4分）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项目调整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项目调整严格履行相关手续</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履行</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履行</w:t>
            </w:r>
          </w:p>
        </w:tc>
      </w:tr>
      <w:tr>
        <w:tblPrEx>
          <w:tblCellMar>
            <w:top w:w="15" w:type="dxa"/>
            <w:left w:w="15" w:type="dxa"/>
            <w:bottom w:w="15" w:type="dxa"/>
            <w:right w:w="15" w:type="dxa"/>
          </w:tblCellMar>
        </w:tblPrEx>
        <w:trPr>
          <w:trHeight w:val="8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投资变更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项目投资变更额/项目总投入×100%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否</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否</w:t>
            </w: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制度执行</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严格执行项目有关制度规定</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严格</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严格</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项目绩效</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项目完成</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完成数量</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实际完成任务量/绩效目标设定任务量×100%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1个</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完成质量</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符合绩效目标设定的验收标准，达到行业基准水平</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符合</w:t>
            </w:r>
          </w:p>
        </w:tc>
      </w:tr>
      <w:tr>
        <w:tblPrEx>
          <w:tblCellMar>
            <w:top w:w="15" w:type="dxa"/>
            <w:left w:w="15" w:type="dxa"/>
            <w:bottom w:w="15" w:type="dxa"/>
            <w:right w:w="15" w:type="dxa"/>
          </w:tblCellMar>
        </w:tblPrEx>
        <w:trPr>
          <w:trHeight w:val="79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完成时效</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（实际完成时间-绩效目标设定完成时间）/绩效目标设定完成时间×100%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及时</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及时</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完成成本</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（实际完成成本-预计完成成本）/预计完成成本×100%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好</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好</w:t>
            </w:r>
          </w:p>
        </w:tc>
      </w:tr>
      <w:tr>
        <w:tblPrEx>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项目效益</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经济效益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反映相关产出对经济社会发展带来的影响和效果，根据项目实际细化具体指标。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反映相关产出对社会发展带来的影响和效果，根据项目实际细化具体指标。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生态效益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反映相关产出对自然环境带来的影响和效果，根据项目实际细化具体指标。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反映相关产出带来影响的可持续期限，根据项目实际细化具体指标。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108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满意度</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反映服务对象或项目受益人对相关产出及其影响的认可程度，根据项目实际细化具体指标。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满意</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满意</w:t>
            </w:r>
          </w:p>
        </w:tc>
      </w:tr>
    </w:tbl>
    <w:p>
      <w:pPr>
        <w:spacing w:line="560" w:lineRule="exact"/>
        <w:ind w:left="643"/>
        <w:rPr>
          <w:rFonts w:ascii="楷体" w:hAnsi="楷体" w:eastAsia="楷体" w:cs="楷体"/>
          <w:color w:val="000000"/>
          <w:sz w:val="32"/>
          <w:szCs w:val="32"/>
        </w:rPr>
      </w:pPr>
      <w:r>
        <w:rPr>
          <w:rFonts w:ascii="楷体_GB2312" w:hAnsi="楷体_GB2312" w:eastAsia="楷体_GB2312" w:cs="楷体_GB2312"/>
          <w:sz w:val="32"/>
          <w:szCs w:val="32"/>
        </w:rPr>
        <w:t>2.</w:t>
      </w:r>
      <w:r>
        <w:rPr>
          <w:rFonts w:hint="eastAsia" w:ascii="楷体" w:hAnsi="楷体" w:eastAsia="楷体" w:cs="楷体"/>
          <w:b/>
          <w:bCs/>
          <w:sz w:val="32"/>
          <w:szCs w:val="32"/>
        </w:rPr>
        <w:t>部门绩效评价结果</w:t>
      </w:r>
    </w:p>
    <w:p>
      <w:pPr>
        <w:numPr>
          <w:ilvl w:val="0"/>
          <w:numId w:val="0"/>
        </w:numPr>
        <w:adjustRightInd w:val="0"/>
        <w:snapToGrid w:val="0"/>
        <w:spacing w:line="600" w:lineRule="exact"/>
        <w:ind w:firstLine="640" w:firstLineChars="200"/>
        <w:rPr>
          <w:rFonts w:hint="eastAsia" w:ascii="仿宋_GB2312" w:hAnsi="Adobe 楷体 Std R"/>
          <w:sz w:val="32"/>
          <w:szCs w:val="32"/>
          <w:lang w:eastAsia="zh-CN"/>
        </w:rPr>
      </w:pPr>
      <w:bookmarkStart w:id="48" w:name="_Toc15396613"/>
      <w:bookmarkStart w:id="49" w:name="_Toc15377225"/>
      <w:r>
        <w:rPr>
          <w:rFonts w:hint="eastAsia" w:ascii="仿宋_GB2312" w:hAnsi="仿宋_GB2312" w:eastAsia="仿宋_GB2312" w:cs="仿宋_GB2312"/>
          <w:sz w:val="32"/>
          <w:szCs w:val="32"/>
          <w:lang w:val="en-US" w:eastAsia="zh-CN"/>
        </w:rPr>
        <w:t>2020年活动</w:t>
      </w:r>
      <w:r>
        <w:rPr>
          <w:rFonts w:hint="default"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eastAsia="zh-CN"/>
        </w:rPr>
        <w:t>所有</w:t>
      </w:r>
      <w:r>
        <w:rPr>
          <w:rFonts w:hint="default" w:ascii="仿宋_GB2312" w:hAnsi="仿宋_GB2312" w:eastAsia="仿宋_GB2312" w:cs="仿宋_GB2312"/>
          <w:sz w:val="32"/>
          <w:szCs w:val="32"/>
          <w:lang w:val="en-US" w:eastAsia="zh-CN"/>
        </w:rPr>
        <w:t>嘉宾实行一对一</w:t>
      </w:r>
      <w:r>
        <w:rPr>
          <w:rFonts w:hint="eastAsia" w:ascii="仿宋_GB2312" w:hAnsi="仿宋_GB2312" w:eastAsia="仿宋_GB2312" w:cs="仿宋_GB2312"/>
          <w:sz w:val="32"/>
          <w:szCs w:val="32"/>
          <w:lang w:val="en-US" w:eastAsia="zh-CN"/>
        </w:rPr>
        <w:t>接待</w:t>
      </w:r>
      <w:r>
        <w:rPr>
          <w:rFonts w:hint="default" w:ascii="仿宋_GB2312" w:hAnsi="仿宋_GB2312" w:eastAsia="仿宋_GB2312" w:cs="仿宋_GB2312"/>
          <w:sz w:val="32"/>
          <w:szCs w:val="32"/>
          <w:lang w:val="en-US" w:eastAsia="zh-CN"/>
        </w:rPr>
        <w:t>服务，做到了周全、细致、严谨、热情，实现了让参会领导和嘉宾高兴而来、满意而归，确保了会务工作万无一失</w:t>
      </w:r>
      <w:r>
        <w:rPr>
          <w:rFonts w:hint="eastAsia" w:ascii="仿宋_GB2312" w:hAnsi="仿宋_GB2312" w:cs="仿宋_GB2312"/>
          <w:sz w:val="32"/>
          <w:szCs w:val="32"/>
          <w:lang w:val="en-US" w:eastAsia="zh-CN"/>
        </w:rPr>
        <w:t>，</w:t>
      </w:r>
      <w:r>
        <w:rPr>
          <w:rFonts w:hint="eastAsia" w:ascii="仿宋_GB2312" w:hAnsi="Adobe 楷体 Std R" w:eastAsia="仿宋_GB2312"/>
          <w:sz w:val="32"/>
          <w:szCs w:val="32"/>
        </w:rPr>
        <w:t>奉献，友爱，互助，进步，这是志愿者精神，更是本次大会志愿服务的宗旨。团县委通过前期的精心组织、认真筹备、多次演练，组织志愿者们圆满完成大会志愿服务工作，集中展现了汶川青年朝气蓬勃、昂扬向上的精神风貌</w:t>
      </w:r>
      <w:r>
        <w:rPr>
          <w:rFonts w:hint="eastAsia" w:ascii="仿宋_GB2312" w:hAnsi="Adobe 楷体 Std R"/>
          <w:sz w:val="32"/>
          <w:szCs w:val="32"/>
          <w:lang w:eastAsia="zh-CN"/>
        </w:rPr>
        <w:t>，</w:t>
      </w:r>
      <w:r>
        <w:rPr>
          <w:rFonts w:hint="eastAsia" w:ascii="仿宋_GB2312" w:hAnsi="Adobe 楷体 Std R" w:eastAsia="仿宋_GB2312"/>
          <w:sz w:val="32"/>
          <w:szCs w:val="32"/>
        </w:rPr>
        <w:t>下一步，团县委将继续努力，充分发挥共青团作用，为高质量创建“无忧地·慢生活”国家级旅游度假区贡献青春力量</w:t>
      </w:r>
      <w:r>
        <w:rPr>
          <w:rFonts w:hint="eastAsia" w:ascii="仿宋_GB2312" w:hAnsi="Adobe 楷体 Std R"/>
          <w:sz w:val="32"/>
          <w:szCs w:val="32"/>
          <w:lang w:eastAsia="zh-CN"/>
        </w:rPr>
        <w:t>。</w:t>
      </w:r>
    </w:p>
    <w:p>
      <w:pPr>
        <w:pStyle w:val="2"/>
        <w:rPr>
          <w:rFonts w:hint="eastAsia" w:ascii="仿宋_GB2312" w:hAnsi="Adobe 楷体 Std R"/>
          <w:sz w:val="32"/>
          <w:szCs w:val="32"/>
          <w:lang w:eastAsia="zh-CN"/>
        </w:rPr>
      </w:pPr>
    </w:p>
    <w:p>
      <w:pPr>
        <w:rPr>
          <w:rFonts w:hint="eastAsia" w:ascii="仿宋_GB2312" w:hAnsi="Adobe 楷体 Std R"/>
          <w:sz w:val="32"/>
          <w:szCs w:val="32"/>
          <w:lang w:eastAsia="zh-CN"/>
        </w:rPr>
      </w:pPr>
    </w:p>
    <w:p>
      <w:pPr>
        <w:pStyle w:val="2"/>
        <w:rPr>
          <w:rFonts w:hint="eastAsia" w:ascii="仿宋_GB2312" w:hAnsi="Adobe 楷体 Std R"/>
          <w:sz w:val="32"/>
          <w:szCs w:val="32"/>
          <w:lang w:eastAsia="zh-CN"/>
        </w:rPr>
      </w:pPr>
    </w:p>
    <w:p>
      <w:pPr>
        <w:rPr>
          <w:rFonts w:hint="eastAsia"/>
          <w:lang w:eastAsia="zh-CN"/>
        </w:rPr>
      </w:pPr>
    </w:p>
    <w:p>
      <w:pPr>
        <w:pStyle w:val="2"/>
        <w:rPr>
          <w:rFonts w:hint="eastAsia"/>
          <w:lang w:eastAsia="zh-CN"/>
        </w:rPr>
      </w:pPr>
    </w:p>
    <w:p>
      <w:pPr>
        <w:numPr>
          <w:ilvl w:val="0"/>
          <w:numId w:val="3"/>
        </w:numPr>
        <w:spacing w:line="560" w:lineRule="exact"/>
        <w:ind w:firstLine="663" w:firstLineChars="150"/>
        <w:jc w:val="center"/>
        <w:outlineLvl w:val="0"/>
        <w:rPr>
          <w:rStyle w:val="27"/>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color w:val="000000"/>
          <w:sz w:val="44"/>
          <w:szCs w:val="44"/>
        </w:rPr>
        <w:t>名</w:t>
      </w:r>
      <w:r>
        <w:rPr>
          <w:rStyle w:val="27"/>
          <w:rFonts w:hint="eastAsia" w:ascii="方正小标宋简体" w:hAnsi="方正小标宋简体" w:eastAsia="方正小标宋简体" w:cs="方正小标宋简体"/>
          <w:b w:val="0"/>
        </w:rPr>
        <w:t>词解释</w:t>
      </w:r>
      <w:bookmarkEnd w:id="48"/>
      <w:bookmarkEnd w:id="49"/>
    </w:p>
    <w:p>
      <w:pPr>
        <w:spacing w:line="560" w:lineRule="exact"/>
        <w:jc w:val="left"/>
        <w:rPr>
          <w:rFonts w:ascii="宋体"/>
          <w:b/>
          <w:color w:val="000000"/>
          <w:sz w:val="44"/>
          <w:szCs w:val="44"/>
        </w:rPr>
      </w:pP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2.事业收入：指事业单位开展专业业务活动及辅助活动取得的收入。（二级预算单位事业收入情况）等。</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3.经营收入：指事业单位在专业业务活动及其辅助活动之外开展非独立核算经营活动取得的收入。如…（二级预算单位经营收入情况）等。</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 </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7.结余分配：指事业单位按照事业单位会计制度的规定从非财政补助结余中分配的事业基金和职工福利基金等。</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9.一般公共服务2012901行政运行：反应行政单位（包含实行公务员管理的事业单位）的基本支出。用于职工工资、办公费等维持日常工作开展的开支。</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10.社会保障和就业2080505机关事业单位基本养老保险缴费支出：指本单位职工应缴纳的基本养老保险缴费支出。2080506机关事业单位职业年金缴费支出：指本单位职工应缴纳的职业年金缴费支出。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11.医疗卫生和计划生育210</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01行政单位医疗：指本单位职工应缴纳的机关医疗保险支出。</w:t>
      </w:r>
    </w:p>
    <w:p>
      <w:pPr>
        <w:spacing w:line="560" w:lineRule="exact"/>
        <w:ind w:firstLine="640" w:firstLineChars="200"/>
        <w:rPr>
          <w:rFonts w:ascii="仿宋_GB2312" w:hAnsi="仿宋_GB2312" w:eastAsia="仿宋_GB2312" w:cs="仿宋_GB2312"/>
          <w:b/>
          <w:i/>
          <w:color w:val="404040"/>
          <w:sz w:val="32"/>
          <w:szCs w:val="32"/>
        </w:rPr>
      </w:pPr>
      <w:r>
        <w:rPr>
          <w:rFonts w:hint="eastAsia" w:ascii="仿宋_GB2312" w:hAnsi="仿宋_GB2312" w:eastAsia="仿宋_GB2312" w:cs="仿宋_GB2312"/>
          <w:color w:val="000000"/>
          <w:sz w:val="32"/>
          <w:szCs w:val="32"/>
        </w:rPr>
        <w:t>12.住房保障支出2210201住房公积金：指本单位应缴纳的住房公积金。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13.结余分配：指事业单位按规定提取的职工福利基金、事业基金和缴纳的所得税，以及建设单位按规定应交回的基本建设竣工项目结余资金。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14.年末结转和结余：指本年度或以前年度预算安排、因客观条件发生变化无法按原计划实施，需延迟到以后年度按有关规定继续使用的资金。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15.基本支出：指为保障机构正常运转、完成日常工作任务而发生的人员支出和公用支出。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16.项目支出：指在基本支出之外为完成特定行政任务和事业发展目标所发生的支出。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17.经营支出：指事业单位在专业业务活动及其辅助活动之外开展非独立核算经营活动发生的支出。</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20.群众团体事务2012999其他群众团体事务支出：反应各级人民团体，社会团体，群众团体以及工会、妇联、共青团组织（包括中华青年联合会）等方面的支出。</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21．一般行政事务管理2012902:一般行政管理事务：反应行政单位（包含实行公务员管理的事业单位）未单独设置顶级科目的其他项目支出。</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（解释本部门决算报表中全部功能分类科目至项级，请参照《201</w:t>
      </w:r>
      <w:r>
        <w:rPr>
          <w:rFonts w:hint="eastAsia" w:ascii="仿宋_GB2312" w:hAnsi="仿宋_GB2312" w:eastAsia="仿宋_GB2312" w:cs="仿宋_GB2312"/>
          <w:b/>
          <w:color w:val="000000"/>
          <w:sz w:val="32"/>
          <w:szCs w:val="32"/>
          <w:lang w:val="en-US" w:eastAsia="zh-CN"/>
        </w:rPr>
        <w:t>9</w:t>
      </w:r>
      <w:r>
        <w:rPr>
          <w:rFonts w:hint="eastAsia" w:ascii="仿宋_GB2312" w:hAnsi="仿宋_GB2312" w:eastAsia="仿宋_GB2312" w:cs="仿宋_GB2312"/>
          <w:b/>
          <w:color w:val="000000"/>
          <w:sz w:val="32"/>
          <w:szCs w:val="32"/>
        </w:rPr>
        <w:t>年政府收支分类科目》增减内容。）</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（名词解释部分请根据各部门实际列支情况罗列，并根据本部门职责职能增减名词解释内容。）</w:t>
      </w:r>
    </w:p>
    <w:p>
      <w:pPr>
        <w:spacing w:line="560" w:lineRule="exact"/>
        <w:jc w:val="center"/>
        <w:outlineLvl w:val="0"/>
        <w:rPr>
          <w:rStyle w:val="27"/>
          <w:rFonts w:ascii="黑体" w:hAnsi="黑体" w:eastAsia="黑体"/>
          <w:b w:val="0"/>
        </w:rPr>
      </w:pPr>
      <w:bookmarkStart w:id="50" w:name="_Toc15377226"/>
      <w:r>
        <w:rPr>
          <w:rFonts w:ascii="宋体"/>
          <w:b/>
          <w:color w:val="000000"/>
          <w:sz w:val="44"/>
          <w:szCs w:val="44"/>
        </w:rPr>
        <w:br w:type="page"/>
      </w:r>
      <w:bookmarkStart w:id="51" w:name="_Toc15396614"/>
      <w:r>
        <w:rPr>
          <w:rFonts w:hint="eastAsia" w:ascii="方正小标宋简体" w:hAnsi="方正小标宋简体" w:eastAsia="方正小标宋简体" w:cs="方正小标宋简体"/>
          <w:color w:val="000000"/>
          <w:sz w:val="44"/>
          <w:szCs w:val="44"/>
        </w:rPr>
        <w:t>第</w:t>
      </w:r>
      <w:r>
        <w:rPr>
          <w:rStyle w:val="27"/>
          <w:rFonts w:hint="eastAsia" w:ascii="方正小标宋简体" w:hAnsi="方正小标宋简体" w:eastAsia="方正小标宋简体" w:cs="方正小标宋简体"/>
          <w:b w:val="0"/>
        </w:rPr>
        <w:t>四部分 附件</w:t>
      </w:r>
      <w:bookmarkEnd w:id="51"/>
    </w:p>
    <w:p>
      <w:pPr>
        <w:spacing w:line="560" w:lineRule="exact"/>
        <w:jc w:val="center"/>
        <w:outlineLvl w:val="0"/>
        <w:rPr>
          <w:rStyle w:val="27"/>
        </w:rPr>
      </w:pPr>
    </w:p>
    <w:p>
      <w:pPr>
        <w:pStyle w:val="4"/>
        <w:spacing w:line="560" w:lineRule="exact"/>
        <w:rPr>
          <w:rStyle w:val="27"/>
          <w:rFonts w:ascii="仿宋" w:hAnsi="仿宋" w:eastAsia="仿宋"/>
          <w:b w:val="0"/>
          <w:bCs w:val="0"/>
          <w:sz w:val="32"/>
          <w:szCs w:val="32"/>
        </w:rPr>
      </w:pPr>
      <w:bookmarkStart w:id="52" w:name="_Toc15396615"/>
      <w:r>
        <w:rPr>
          <w:rStyle w:val="27"/>
          <w:rFonts w:hint="eastAsia" w:ascii="仿宋" w:hAnsi="仿宋" w:eastAsia="仿宋"/>
          <w:b w:val="0"/>
          <w:bCs w:val="0"/>
          <w:sz w:val="32"/>
          <w:szCs w:val="32"/>
        </w:rPr>
        <w:t>附件1</w:t>
      </w:r>
      <w:bookmarkEnd w:id="52"/>
    </w:p>
    <w:p>
      <w:pPr>
        <w:spacing w:line="560" w:lineRule="exact"/>
        <w:jc w:val="center"/>
        <w:outlineLvl w:val="0"/>
        <w:rPr>
          <w:rFonts w:ascii="黑体" w:hAnsi="黑体" w:eastAsia="黑体" w:cs="方正小标宋简体"/>
          <w:sz w:val="36"/>
          <w:szCs w:val="36"/>
        </w:rPr>
      </w:pPr>
      <w:bookmarkStart w:id="53" w:name="_Toc15396616"/>
      <w:r>
        <w:rPr>
          <w:rFonts w:hint="eastAsia" w:ascii="黑体" w:hAnsi="黑体" w:eastAsia="黑体" w:cs="方正小标宋简体"/>
          <w:sz w:val="36"/>
          <w:szCs w:val="36"/>
        </w:rPr>
        <w:t>团县委部门20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53"/>
    </w:p>
    <w:p>
      <w:pPr>
        <w:spacing w:line="560" w:lineRule="exact"/>
        <w:rPr>
          <w:rFonts w:ascii="仿宋_GB2312" w:eastAsia="仿宋_GB2312"/>
          <w:sz w:val="32"/>
          <w:szCs w:val="32"/>
        </w:rPr>
      </w:pPr>
      <w:r>
        <w:rPr>
          <w:rFonts w:hint="eastAsia" w:ascii="黑体" w:hAnsi="黑体" w:eastAsia="黑体" w:cs="黑体"/>
          <w:sz w:val="32"/>
          <w:szCs w:val="32"/>
        </w:rPr>
        <w:t xml:space="preserve">  一、单位概况</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楷体" w:hAnsi="楷体" w:eastAsia="楷体" w:cs="楷体"/>
          <w:b/>
          <w:sz w:val="32"/>
          <w:szCs w:val="32"/>
        </w:rPr>
        <w:t xml:space="preserve">  （一）机构组织</w:t>
      </w:r>
    </w:p>
    <w:p>
      <w:pPr>
        <w:spacing w:line="560" w:lineRule="exact"/>
        <w:ind w:firstLine="645"/>
        <w:rPr>
          <w:rFonts w:ascii="仿宋_GB2312" w:eastAsia="仿宋_GB2312"/>
          <w:sz w:val="32"/>
          <w:szCs w:val="32"/>
        </w:rPr>
      </w:pPr>
      <w:r>
        <w:rPr>
          <w:rFonts w:hint="eastAsia" w:ascii="仿宋_GB2312" w:eastAsia="仿宋_GB2312"/>
          <w:sz w:val="32"/>
          <w:szCs w:val="32"/>
        </w:rPr>
        <w:t>共青团汶川县委员会下设2个直属事业单位，汶川县青少年活动中心和汶川县青少年宫。</w:t>
      </w:r>
    </w:p>
    <w:p>
      <w:pPr>
        <w:spacing w:line="560" w:lineRule="exact"/>
        <w:rPr>
          <w:rFonts w:ascii="楷体" w:hAnsi="楷体" w:eastAsia="楷体" w:cs="楷体"/>
          <w:b/>
          <w:bCs/>
          <w:sz w:val="32"/>
          <w:szCs w:val="32"/>
        </w:rPr>
      </w:pPr>
      <w:r>
        <w:rPr>
          <w:rFonts w:hint="eastAsia" w:ascii="楷体" w:hAnsi="楷体" w:eastAsia="楷体" w:cs="楷体"/>
          <w:bCs/>
          <w:sz w:val="32"/>
          <w:szCs w:val="32"/>
        </w:rPr>
        <w:t xml:space="preserve">   </w:t>
      </w:r>
      <w:r>
        <w:rPr>
          <w:rFonts w:hint="eastAsia" w:ascii="楷体" w:hAnsi="楷体" w:eastAsia="楷体" w:cs="楷体"/>
          <w:b/>
          <w:bCs/>
          <w:sz w:val="32"/>
          <w:szCs w:val="32"/>
        </w:rPr>
        <w:t>（二）机构职能</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1.行使共青团汶川县委员会赋予的领导全县共青团工作，领导县青联和少先队工作的职权，对全县性青年社团组织进行指导和管理。</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2.参与制定我先青少年事业发展规划和青少年工作方针、政策，对我县青少年活动阵地、青少年服务机构的建设等进行规划和管理。</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3.参与有关我县青少年事务的法律、法规实施协助县委和县政府处理、协调与青少年利益相关的事务。</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4.调查青少年思想动态和青年工作状况，研究青少年运动、青少年工作理论和思想教育问题，提出相应对策，开展各种活动。</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5.协助政府教育部门做好中、小学学生的教育管理工作，维护学校稳定和社会安定团结。</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6.在经济建设中，组织和带领青年发挥生力军和突击队作用。</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7.会同有关部门对全县青少年外事工作进行归口管理和提供服务。</w:t>
      </w:r>
    </w:p>
    <w:p>
      <w:pPr>
        <w:adjustRightInd w:val="0"/>
        <w:snapToGrid w:val="0"/>
        <w:spacing w:line="560" w:lineRule="exact"/>
        <w:rPr>
          <w:rFonts w:ascii="仿宋_GB2312" w:hAnsi="仿宋_GB2312" w:eastAsia="仿宋_GB2312"/>
          <w:color w:val="2B2B2B"/>
          <w:sz w:val="31"/>
          <w:shd w:val="clear" w:color="auto" w:fill="FFFFFF"/>
        </w:rPr>
      </w:pPr>
      <w:r>
        <w:rPr>
          <w:rFonts w:hint="eastAsia" w:ascii="仿宋_GB2312" w:hAnsi="仿宋_GB2312" w:eastAsia="仿宋_GB2312"/>
          <w:color w:val="2B2B2B"/>
          <w:sz w:val="31"/>
          <w:shd w:val="clear" w:color="auto" w:fill="FFFFFF"/>
        </w:rPr>
        <w:t xml:space="preserve">    8.参与制定有关青年统战工作的政策，做好青年统战对象和团结教育工作，维护、促进祖国统一和民族团结。</w:t>
      </w:r>
    </w:p>
    <w:p>
      <w:pPr>
        <w:adjustRightInd w:val="0"/>
        <w:snapToGrid w:val="0"/>
        <w:spacing w:line="560" w:lineRule="exact"/>
        <w:rPr>
          <w:rFonts w:ascii="仿宋_GB2312" w:hAnsi="ˎ̥" w:eastAsia="仿宋_GB2312"/>
          <w:color w:val="333333"/>
          <w:kern w:val="10"/>
          <w:sz w:val="32"/>
          <w:szCs w:val="32"/>
        </w:rPr>
      </w:pPr>
      <w:r>
        <w:rPr>
          <w:rFonts w:hint="eastAsia" w:ascii="仿宋_GB2312" w:hAnsi="仿宋_GB2312" w:eastAsia="仿宋_GB2312"/>
          <w:color w:val="2B2B2B"/>
          <w:sz w:val="31"/>
          <w:shd w:val="clear" w:color="auto" w:fill="FFFFFF"/>
        </w:rPr>
        <w:t xml:space="preserve">    9.承办县委、团州委交办的有关事项</w:t>
      </w:r>
    </w:p>
    <w:p>
      <w:pPr>
        <w:adjustRightInd w:val="0"/>
        <w:snapToGrid w:val="0"/>
        <w:spacing w:line="560" w:lineRule="exact"/>
        <w:rPr>
          <w:rFonts w:ascii="仿宋_GB2312" w:hAnsi="ˎ̥" w:eastAsia="仿宋_GB2312"/>
          <w:color w:val="333333"/>
          <w:kern w:val="10"/>
          <w:sz w:val="32"/>
          <w:szCs w:val="32"/>
        </w:rPr>
      </w:pPr>
      <w:r>
        <w:rPr>
          <w:rFonts w:hint="eastAsia" w:ascii="仿宋_GB2312" w:hAnsi="仿宋_GB2312" w:eastAsia="仿宋_GB2312"/>
          <w:color w:val="2B2B2B"/>
          <w:sz w:val="31"/>
          <w:shd w:val="clear" w:color="auto" w:fill="FFFFFF"/>
        </w:rPr>
        <w:t xml:space="preserve">    10.</w:t>
      </w:r>
      <w:r>
        <w:rPr>
          <w:rFonts w:hint="eastAsia" w:ascii="仿宋_GB2312" w:eastAsia="仿宋_GB2312"/>
          <w:kern w:val="10"/>
          <w:sz w:val="32"/>
          <w:szCs w:val="32"/>
        </w:rPr>
        <w:t>承办县委、县政府交办的其他事项。</w:t>
      </w:r>
    </w:p>
    <w:p>
      <w:pPr>
        <w:pStyle w:val="7"/>
        <w:adjustRightInd w:val="0"/>
        <w:snapToGrid w:val="0"/>
        <w:spacing w:before="93" w:line="560" w:lineRule="exact"/>
        <w:rPr>
          <w:rFonts w:ascii="楷体" w:hAnsi="楷体" w:eastAsia="楷体" w:cs="楷体"/>
          <w:b/>
          <w:bCs/>
          <w:sz w:val="32"/>
          <w:szCs w:val="32"/>
        </w:rPr>
      </w:pPr>
      <w:r>
        <w:rPr>
          <w:rFonts w:hint="eastAsia"/>
          <w:bCs/>
          <w:sz w:val="32"/>
          <w:szCs w:val="32"/>
        </w:rPr>
        <w:t xml:space="preserve">  </w:t>
      </w:r>
      <w:r>
        <w:rPr>
          <w:rFonts w:hint="eastAsia"/>
          <w:b/>
          <w:bCs/>
          <w:sz w:val="32"/>
          <w:szCs w:val="32"/>
        </w:rPr>
        <w:t xml:space="preserve"> </w:t>
      </w:r>
      <w:r>
        <w:rPr>
          <w:rFonts w:hint="eastAsia" w:ascii="楷体" w:hAnsi="楷体" w:eastAsia="楷体" w:cs="楷体"/>
          <w:b/>
          <w:bCs/>
          <w:sz w:val="32"/>
          <w:szCs w:val="32"/>
        </w:rPr>
        <w:t>（三）人员概况</w:t>
      </w:r>
    </w:p>
    <w:p>
      <w:pPr>
        <w:pStyle w:val="7"/>
        <w:adjustRightInd w:val="0"/>
        <w:snapToGrid w:val="0"/>
        <w:spacing w:before="93" w:line="560" w:lineRule="exact"/>
        <w:rPr>
          <w:bCs/>
          <w:sz w:val="32"/>
          <w:szCs w:val="32"/>
        </w:rPr>
      </w:pPr>
      <w:r>
        <w:rPr>
          <w:rFonts w:hint="eastAsia"/>
          <w:sz w:val="32"/>
          <w:szCs w:val="32"/>
        </w:rPr>
        <w:t xml:space="preserve">   20</w:t>
      </w:r>
      <w:r>
        <w:rPr>
          <w:rFonts w:hint="eastAsia"/>
          <w:sz w:val="32"/>
          <w:szCs w:val="32"/>
          <w:lang w:val="en-US" w:eastAsia="zh-CN"/>
        </w:rPr>
        <w:t>20</w:t>
      </w:r>
      <w:r>
        <w:rPr>
          <w:rFonts w:hint="eastAsia"/>
          <w:sz w:val="32"/>
          <w:szCs w:val="32"/>
        </w:rPr>
        <w:t>年我委下属二级预算单位2个，其中行政单位0个，参照公务员法管理的事业单位</w:t>
      </w:r>
      <w:r>
        <w:rPr>
          <w:rFonts w:hint="eastAsia"/>
          <w:bCs/>
          <w:sz w:val="32"/>
          <w:szCs w:val="32"/>
        </w:rPr>
        <w:t>0</w:t>
      </w:r>
      <w:r>
        <w:rPr>
          <w:rFonts w:hint="eastAsia"/>
          <w:sz w:val="32"/>
          <w:szCs w:val="32"/>
        </w:rPr>
        <w:t>个，其他事业单位2个。</w:t>
      </w:r>
      <w:r>
        <w:rPr>
          <w:rFonts w:hint="eastAsia" w:hAnsi="仿宋_GB2312" w:cs="仿宋_GB2312"/>
          <w:sz w:val="32"/>
          <w:szCs w:val="32"/>
        </w:rPr>
        <w:t>总编制11名,其中:行政编制5名,事业编制6名。目前在职人员总数6名，其中：行政人员3名，事业</w:t>
      </w:r>
      <w:r>
        <w:rPr>
          <w:rFonts w:hint="eastAsia" w:hAnsi="仿宋_GB2312" w:cs="仿宋_GB2312"/>
          <w:sz w:val="32"/>
          <w:szCs w:val="32"/>
          <w:lang w:eastAsia="zh-CN"/>
        </w:rPr>
        <w:t>人员</w:t>
      </w:r>
      <w:r>
        <w:rPr>
          <w:rFonts w:hint="eastAsia" w:hAnsi="仿宋_GB2312" w:cs="仿宋_GB2312"/>
          <w:sz w:val="32"/>
          <w:szCs w:val="32"/>
        </w:rPr>
        <w:t>3名。</w:t>
      </w:r>
    </w:p>
    <w:p>
      <w:pPr>
        <w:pStyle w:val="7"/>
        <w:adjustRightInd w:val="0"/>
        <w:snapToGrid w:val="0"/>
        <w:spacing w:before="93" w:line="560" w:lineRule="exact"/>
        <w:rPr>
          <w:rFonts w:ascii="黑体" w:hAnsi="黑体" w:eastAsia="黑体" w:cs="黑体"/>
          <w:bCs/>
          <w:sz w:val="32"/>
          <w:szCs w:val="32"/>
        </w:rPr>
      </w:pPr>
      <w:r>
        <w:rPr>
          <w:rFonts w:hint="eastAsia"/>
          <w:bCs/>
          <w:sz w:val="32"/>
          <w:szCs w:val="32"/>
        </w:rPr>
        <w:t xml:space="preserve">   </w:t>
      </w:r>
      <w:r>
        <w:rPr>
          <w:rFonts w:hint="eastAsia" w:ascii="黑体" w:hAnsi="黑体" w:eastAsia="黑体" w:cs="黑体"/>
          <w:bCs/>
          <w:sz w:val="32"/>
          <w:szCs w:val="32"/>
        </w:rPr>
        <w:t xml:space="preserve"> 二、财政资金收支情况</w:t>
      </w:r>
    </w:p>
    <w:p>
      <w:pPr>
        <w:pStyle w:val="7"/>
        <w:adjustRightInd w:val="0"/>
        <w:snapToGrid w:val="0"/>
        <w:spacing w:before="93" w:line="560" w:lineRule="exact"/>
        <w:ind w:firstLine="643" w:firstLineChars="200"/>
        <w:rPr>
          <w:rFonts w:ascii="楷体" w:hAnsi="楷体" w:eastAsia="楷体"/>
          <w:b/>
          <w:sz w:val="32"/>
          <w:szCs w:val="32"/>
        </w:rPr>
      </w:pPr>
      <w:r>
        <w:rPr>
          <w:rFonts w:hint="eastAsia" w:ascii="楷体" w:hAnsi="楷体" w:eastAsia="楷体"/>
          <w:b/>
          <w:sz w:val="32"/>
          <w:szCs w:val="32"/>
        </w:rPr>
        <w:t>（一）部门财政资金收入情况</w:t>
      </w:r>
    </w:p>
    <w:p>
      <w:pPr>
        <w:pStyle w:val="7"/>
        <w:adjustRightInd w:val="0"/>
        <w:snapToGrid w:val="0"/>
        <w:spacing w:before="93" w:line="560" w:lineRule="exact"/>
        <w:ind w:firstLine="640" w:firstLineChars="200"/>
        <w:rPr>
          <w:sz w:val="32"/>
          <w:szCs w:val="32"/>
        </w:rPr>
      </w:pPr>
      <w:r>
        <w:rPr>
          <w:rFonts w:hint="eastAsia"/>
          <w:sz w:val="32"/>
          <w:szCs w:val="32"/>
        </w:rPr>
        <w:t xml:space="preserve"> 20</w:t>
      </w:r>
      <w:r>
        <w:rPr>
          <w:rFonts w:hint="eastAsia"/>
          <w:sz w:val="32"/>
          <w:szCs w:val="32"/>
          <w:lang w:val="en-US" w:eastAsia="zh-CN"/>
        </w:rPr>
        <w:t>20</w:t>
      </w:r>
      <w:r>
        <w:rPr>
          <w:rFonts w:hint="eastAsia"/>
          <w:sz w:val="32"/>
          <w:szCs w:val="32"/>
        </w:rPr>
        <w:t>年行政运行收入共计</w:t>
      </w:r>
      <w:r>
        <w:rPr>
          <w:rFonts w:hint="eastAsia"/>
          <w:sz w:val="32"/>
          <w:szCs w:val="32"/>
          <w:lang w:val="en-US" w:eastAsia="zh-CN"/>
        </w:rPr>
        <w:t>254.07万</w:t>
      </w:r>
      <w:r>
        <w:rPr>
          <w:rFonts w:hint="eastAsia"/>
          <w:sz w:val="32"/>
          <w:szCs w:val="32"/>
        </w:rPr>
        <w:t>元，其中：上年结转结余收入</w:t>
      </w:r>
      <w:r>
        <w:rPr>
          <w:rFonts w:hint="eastAsia"/>
          <w:sz w:val="32"/>
          <w:szCs w:val="32"/>
          <w:lang w:val="en-US" w:eastAsia="zh-CN"/>
        </w:rPr>
        <w:t>65.39万</w:t>
      </w:r>
      <w:r>
        <w:rPr>
          <w:rFonts w:hint="eastAsia"/>
          <w:sz w:val="32"/>
          <w:szCs w:val="32"/>
        </w:rPr>
        <w:t>元，本年一般公共预算财政拨款收入</w:t>
      </w:r>
      <w:r>
        <w:rPr>
          <w:rFonts w:hint="eastAsia"/>
          <w:sz w:val="32"/>
          <w:szCs w:val="32"/>
          <w:lang w:val="en-US" w:eastAsia="zh-CN"/>
        </w:rPr>
        <w:t>188.68</w:t>
      </w:r>
      <w:r>
        <w:rPr>
          <w:rFonts w:hint="eastAsia"/>
          <w:sz w:val="32"/>
          <w:szCs w:val="32"/>
        </w:rPr>
        <w:t>元（其中：</w:t>
      </w:r>
      <w:r>
        <w:rPr>
          <w:rFonts w:hint="eastAsia" w:hAnsi="仿宋_GB2312" w:cs="仿宋_GB2312"/>
          <w:sz w:val="32"/>
          <w:szCs w:val="32"/>
        </w:rPr>
        <w:t>一般公共服</w:t>
      </w:r>
      <w:r>
        <w:rPr>
          <w:rFonts w:hint="eastAsia"/>
          <w:sz w:val="32"/>
          <w:szCs w:val="32"/>
        </w:rPr>
        <w:t>务支出</w:t>
      </w:r>
      <w:r>
        <w:rPr>
          <w:rFonts w:hint="eastAsia"/>
          <w:sz w:val="32"/>
          <w:szCs w:val="32"/>
          <w:lang w:val="en-US" w:eastAsia="zh-CN"/>
        </w:rPr>
        <w:t>168.73万</w:t>
      </w:r>
      <w:r>
        <w:rPr>
          <w:rFonts w:hint="eastAsia"/>
          <w:sz w:val="32"/>
          <w:szCs w:val="32"/>
        </w:rPr>
        <w:t>元，</w:t>
      </w:r>
      <w:r>
        <w:rPr>
          <w:rFonts w:hint="eastAsia"/>
          <w:sz w:val="32"/>
          <w:szCs w:val="32"/>
          <w:lang w:val="en-US" w:eastAsia="zh-CN"/>
        </w:rPr>
        <w:t>文化旅游体育与传媒支出9万元，</w:t>
      </w:r>
      <w:r>
        <w:rPr>
          <w:rFonts w:hint="eastAsia"/>
          <w:sz w:val="32"/>
          <w:szCs w:val="32"/>
        </w:rPr>
        <w:t>机关事业单位基本养老保险缴费支出</w:t>
      </w:r>
      <w:r>
        <w:rPr>
          <w:rFonts w:hint="eastAsia"/>
          <w:sz w:val="32"/>
          <w:szCs w:val="32"/>
          <w:lang w:val="en-US" w:eastAsia="zh-CN"/>
        </w:rPr>
        <w:t>2.75万</w:t>
      </w:r>
      <w:r>
        <w:rPr>
          <w:rFonts w:hint="eastAsia"/>
          <w:sz w:val="32"/>
          <w:szCs w:val="32"/>
        </w:rPr>
        <w:t>元，机关事业单位职业年金缴费支出</w:t>
      </w:r>
      <w:r>
        <w:rPr>
          <w:rFonts w:hint="eastAsia"/>
          <w:sz w:val="32"/>
          <w:szCs w:val="32"/>
          <w:lang w:val="en-US" w:eastAsia="zh-CN"/>
        </w:rPr>
        <w:t>1.68万</w:t>
      </w:r>
      <w:r>
        <w:rPr>
          <w:rFonts w:hint="eastAsia"/>
          <w:sz w:val="32"/>
          <w:szCs w:val="32"/>
        </w:rPr>
        <w:t>元</w:t>
      </w:r>
      <w:r>
        <w:rPr>
          <w:rFonts w:hint="eastAsia"/>
          <w:sz w:val="32"/>
          <w:szCs w:val="32"/>
          <w:lang w:eastAsia="zh-CN"/>
        </w:rPr>
        <w:t>，</w:t>
      </w:r>
      <w:r>
        <w:rPr>
          <w:rFonts w:hint="eastAsia"/>
          <w:sz w:val="32"/>
          <w:szCs w:val="32"/>
        </w:rPr>
        <w:t>行政单位医疗支出2</w:t>
      </w:r>
      <w:r>
        <w:rPr>
          <w:rFonts w:hint="eastAsia"/>
          <w:sz w:val="32"/>
          <w:szCs w:val="32"/>
          <w:lang w:val="en-US" w:eastAsia="zh-CN"/>
        </w:rPr>
        <w:t>.84万</w:t>
      </w:r>
      <w:r>
        <w:rPr>
          <w:rFonts w:hint="eastAsia"/>
          <w:sz w:val="32"/>
          <w:szCs w:val="32"/>
        </w:rPr>
        <w:t>元，住房公积金支出</w:t>
      </w:r>
      <w:r>
        <w:rPr>
          <w:rFonts w:hint="eastAsia"/>
          <w:sz w:val="32"/>
          <w:szCs w:val="32"/>
          <w:lang w:val="en-US" w:eastAsia="zh-CN"/>
        </w:rPr>
        <w:t>3.68万</w:t>
      </w:r>
      <w:r>
        <w:rPr>
          <w:rFonts w:hint="eastAsia"/>
          <w:sz w:val="32"/>
          <w:szCs w:val="32"/>
        </w:rPr>
        <w:t>元）。</w:t>
      </w:r>
    </w:p>
    <w:p>
      <w:pPr>
        <w:pStyle w:val="7"/>
        <w:adjustRightInd w:val="0"/>
        <w:snapToGrid w:val="0"/>
        <w:spacing w:before="93" w:line="560" w:lineRule="exact"/>
        <w:ind w:firstLine="643" w:firstLineChars="200"/>
        <w:rPr>
          <w:rFonts w:ascii="楷体" w:hAnsi="楷体" w:eastAsia="楷体"/>
          <w:b/>
          <w:sz w:val="32"/>
          <w:szCs w:val="32"/>
        </w:rPr>
      </w:pPr>
      <w:r>
        <w:rPr>
          <w:rFonts w:hint="eastAsia" w:ascii="楷体" w:hAnsi="楷体" w:eastAsia="楷体"/>
          <w:b/>
          <w:sz w:val="32"/>
          <w:szCs w:val="32"/>
        </w:rPr>
        <w:t>（二）部门财政资金支出情况</w:t>
      </w:r>
    </w:p>
    <w:p>
      <w:pPr>
        <w:pStyle w:val="7"/>
        <w:adjustRightInd w:val="0"/>
        <w:snapToGrid w:val="0"/>
        <w:spacing w:before="93" w:line="560" w:lineRule="exact"/>
        <w:ind w:firstLine="640" w:firstLineChars="200"/>
        <w:rPr>
          <w:rFonts w:hint="eastAsia"/>
          <w:sz w:val="32"/>
          <w:szCs w:val="32"/>
        </w:rPr>
      </w:pPr>
      <w:r>
        <w:rPr>
          <w:rFonts w:hint="eastAsia"/>
          <w:sz w:val="32"/>
          <w:szCs w:val="32"/>
        </w:rPr>
        <w:t>20</w:t>
      </w:r>
      <w:r>
        <w:rPr>
          <w:rFonts w:hint="eastAsia"/>
          <w:sz w:val="32"/>
          <w:szCs w:val="32"/>
          <w:lang w:val="en-US" w:eastAsia="zh-CN"/>
        </w:rPr>
        <w:t>20</w:t>
      </w:r>
      <w:r>
        <w:rPr>
          <w:rFonts w:hint="eastAsia"/>
          <w:sz w:val="32"/>
          <w:szCs w:val="32"/>
        </w:rPr>
        <w:t>年行政运行支出共计</w:t>
      </w:r>
      <w:r>
        <w:rPr>
          <w:rFonts w:hint="eastAsia"/>
          <w:sz w:val="32"/>
          <w:szCs w:val="32"/>
          <w:lang w:val="en-US" w:eastAsia="zh-CN"/>
        </w:rPr>
        <w:t>241.75万</w:t>
      </w:r>
      <w:r>
        <w:rPr>
          <w:rFonts w:hint="eastAsia"/>
          <w:sz w:val="32"/>
          <w:szCs w:val="32"/>
        </w:rPr>
        <w:t>元，其中：基本支出</w:t>
      </w:r>
      <w:r>
        <w:rPr>
          <w:rFonts w:hint="eastAsia"/>
          <w:sz w:val="32"/>
          <w:szCs w:val="32"/>
          <w:lang w:val="en-US" w:eastAsia="zh-CN"/>
        </w:rPr>
        <w:t>128.34万元</w:t>
      </w:r>
      <w:r>
        <w:rPr>
          <w:rFonts w:hint="eastAsia"/>
          <w:sz w:val="32"/>
          <w:szCs w:val="32"/>
        </w:rPr>
        <w:t>（其中：</w:t>
      </w:r>
      <w:r>
        <w:rPr>
          <w:rFonts w:hint="eastAsia" w:hAnsi="仿宋_GB2312" w:cs="仿宋_GB2312"/>
          <w:sz w:val="32"/>
          <w:szCs w:val="32"/>
        </w:rPr>
        <w:t>一般公共服</w:t>
      </w:r>
      <w:r>
        <w:rPr>
          <w:rFonts w:hint="eastAsia"/>
          <w:sz w:val="32"/>
          <w:szCs w:val="32"/>
        </w:rPr>
        <w:t>务支出</w:t>
      </w:r>
      <w:r>
        <w:rPr>
          <w:rFonts w:hint="eastAsia"/>
          <w:sz w:val="32"/>
          <w:szCs w:val="32"/>
          <w:lang w:val="en-US" w:eastAsia="zh-CN"/>
        </w:rPr>
        <w:t>117.39万</w:t>
      </w:r>
      <w:r>
        <w:rPr>
          <w:rFonts w:hint="eastAsia"/>
          <w:sz w:val="32"/>
          <w:szCs w:val="32"/>
        </w:rPr>
        <w:t>元，机关事业单位基本养老保险缴费支出</w:t>
      </w:r>
      <w:r>
        <w:rPr>
          <w:rFonts w:hint="eastAsia"/>
          <w:sz w:val="32"/>
          <w:szCs w:val="32"/>
          <w:lang w:val="en-US" w:eastAsia="zh-CN"/>
        </w:rPr>
        <w:t>2.75万</w:t>
      </w:r>
      <w:r>
        <w:rPr>
          <w:rFonts w:hint="eastAsia"/>
          <w:sz w:val="32"/>
          <w:szCs w:val="32"/>
        </w:rPr>
        <w:t>元，机关事业单位职业年金缴费支出</w:t>
      </w:r>
      <w:r>
        <w:rPr>
          <w:rFonts w:hint="eastAsia"/>
          <w:sz w:val="32"/>
          <w:szCs w:val="32"/>
          <w:lang w:val="en-US" w:eastAsia="zh-CN"/>
        </w:rPr>
        <w:t>1.68万</w:t>
      </w:r>
      <w:r>
        <w:rPr>
          <w:rFonts w:hint="eastAsia"/>
          <w:sz w:val="32"/>
          <w:szCs w:val="32"/>
        </w:rPr>
        <w:t>元</w:t>
      </w:r>
      <w:r>
        <w:rPr>
          <w:rFonts w:hint="eastAsia"/>
          <w:sz w:val="32"/>
          <w:szCs w:val="32"/>
          <w:lang w:eastAsia="zh-CN"/>
        </w:rPr>
        <w:t>，</w:t>
      </w:r>
      <w:r>
        <w:rPr>
          <w:rFonts w:hint="eastAsia"/>
          <w:sz w:val="32"/>
          <w:szCs w:val="32"/>
        </w:rPr>
        <w:t>行政单位医疗支出2</w:t>
      </w:r>
      <w:r>
        <w:rPr>
          <w:rFonts w:hint="eastAsia"/>
          <w:sz w:val="32"/>
          <w:szCs w:val="32"/>
          <w:lang w:val="en-US" w:eastAsia="zh-CN"/>
        </w:rPr>
        <w:t>.84万</w:t>
      </w:r>
      <w:r>
        <w:rPr>
          <w:rFonts w:hint="eastAsia"/>
          <w:sz w:val="32"/>
          <w:szCs w:val="32"/>
        </w:rPr>
        <w:t>元，住房公积金支出</w:t>
      </w:r>
      <w:r>
        <w:rPr>
          <w:rFonts w:hint="eastAsia"/>
          <w:sz w:val="32"/>
          <w:szCs w:val="32"/>
          <w:lang w:val="en-US" w:eastAsia="zh-CN"/>
        </w:rPr>
        <w:t>3.68万</w:t>
      </w:r>
      <w:r>
        <w:rPr>
          <w:rFonts w:hint="eastAsia"/>
          <w:sz w:val="32"/>
          <w:szCs w:val="32"/>
        </w:rPr>
        <w:t>元），项目支出：</w:t>
      </w:r>
      <w:r>
        <w:rPr>
          <w:rFonts w:hint="eastAsia"/>
          <w:sz w:val="32"/>
          <w:szCs w:val="32"/>
          <w:lang w:val="en-US" w:eastAsia="zh-CN"/>
        </w:rPr>
        <w:t>113.41万</w:t>
      </w:r>
      <w:r>
        <w:rPr>
          <w:rFonts w:hint="eastAsia"/>
          <w:sz w:val="32"/>
          <w:szCs w:val="32"/>
        </w:rPr>
        <w:t>元。</w:t>
      </w:r>
    </w:p>
    <w:p>
      <w:pPr>
        <w:pStyle w:val="7"/>
        <w:adjustRightInd w:val="0"/>
        <w:snapToGrid w:val="0"/>
        <w:spacing w:before="93" w:line="560" w:lineRule="exact"/>
        <w:ind w:firstLine="640" w:firstLineChars="200"/>
        <w:rPr>
          <w:sz w:val="32"/>
          <w:szCs w:val="32"/>
        </w:rPr>
      </w:pPr>
      <w:r>
        <w:rPr>
          <w:rFonts w:hint="eastAsia" w:ascii="黑体" w:hAnsi="黑体" w:eastAsia="黑体" w:cs="黑体"/>
          <w:bCs/>
          <w:sz w:val="32"/>
          <w:szCs w:val="32"/>
        </w:rPr>
        <w:t>三、财政支出管理情况</w:t>
      </w:r>
    </w:p>
    <w:p>
      <w:pPr>
        <w:spacing w:line="560" w:lineRule="exact"/>
        <w:rPr>
          <w:rFonts w:ascii="楷体" w:hAnsi="楷体" w:eastAsia="楷体"/>
          <w:b/>
          <w:bCs/>
          <w:sz w:val="32"/>
          <w:szCs w:val="32"/>
        </w:rPr>
      </w:pPr>
      <w:r>
        <w:rPr>
          <w:rFonts w:hint="eastAsia" w:ascii="仿宋_GB2312" w:eastAsia="仿宋_GB2312"/>
          <w:bCs/>
          <w:sz w:val="32"/>
          <w:szCs w:val="32"/>
        </w:rPr>
        <w:t xml:space="preserve">  </w:t>
      </w:r>
      <w:r>
        <w:rPr>
          <w:rFonts w:hint="eastAsia" w:ascii="楷体" w:hAnsi="楷体" w:eastAsia="楷体"/>
          <w:b/>
          <w:bCs/>
          <w:sz w:val="32"/>
          <w:szCs w:val="32"/>
        </w:rPr>
        <w:t xml:space="preserve">  （一）预算编制情况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我委预算安排支出主要用于保障该部门机构正常运转、完成日常工作任务以及承担青少年事业发展相关工作。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基础支出，是用于保障团县委、下属事业单位等机构正常运转的日常支出，包括基本工资、津贴补贴等人员经费以及办公费、印刷费、水电费、办公设备购置等日常公用经费。</w:t>
      </w:r>
    </w:p>
    <w:p>
      <w:pPr>
        <w:spacing w:line="560" w:lineRule="exact"/>
        <w:ind w:firstLine="160" w:firstLineChars="50"/>
        <w:rPr>
          <w:rFonts w:ascii="楷体" w:hAnsi="楷体" w:eastAsia="楷体"/>
          <w:b/>
          <w:sz w:val="32"/>
          <w:szCs w:val="32"/>
        </w:rPr>
      </w:pPr>
      <w:r>
        <w:rPr>
          <w:rFonts w:hint="eastAsia" w:ascii="仿宋_GB2312" w:eastAsia="仿宋_GB2312"/>
          <w:sz w:val="32"/>
          <w:szCs w:val="32"/>
        </w:rPr>
        <w:t xml:space="preserve"> </w:t>
      </w:r>
      <w:r>
        <w:rPr>
          <w:rFonts w:hint="eastAsia" w:ascii="楷体" w:hAnsi="楷体" w:eastAsia="楷体"/>
          <w:b/>
          <w:sz w:val="32"/>
          <w:szCs w:val="32"/>
        </w:rPr>
        <w:t xml:space="preserve">  (二)执行情况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我委按照预算支出数进行预算数安排支出。</w:t>
      </w:r>
    </w:p>
    <w:p>
      <w:pPr>
        <w:spacing w:line="560" w:lineRule="exact"/>
        <w:rPr>
          <w:rFonts w:ascii="楷体" w:hAnsi="楷体" w:eastAsia="楷体"/>
          <w:b/>
          <w:bCs/>
          <w:sz w:val="32"/>
          <w:szCs w:val="32"/>
        </w:rPr>
      </w:pPr>
      <w:r>
        <w:rPr>
          <w:rFonts w:hint="eastAsia" w:ascii="仿宋_GB2312" w:eastAsia="仿宋_GB2312"/>
          <w:bCs/>
          <w:sz w:val="32"/>
          <w:szCs w:val="32"/>
        </w:rPr>
        <w:t xml:space="preserve">  </w:t>
      </w:r>
      <w:r>
        <w:rPr>
          <w:rFonts w:hint="eastAsia" w:ascii="楷体" w:hAnsi="楷体" w:eastAsia="楷体"/>
          <w:b/>
          <w:bCs/>
          <w:sz w:val="32"/>
          <w:szCs w:val="32"/>
        </w:rPr>
        <w:t xml:space="preserve"> （三）财务管理情况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1.一般公共服务，主要用于机关及下属事业单位人员工资、日常运转以及为完成特定行政工作任务和事业发展目标而安排的年度项目支出。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2.社会保障和就业，主要用于机关及下属事业单位离退休人员支出。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3.医疗卫生，主要用于机关及下属事业单位按照规定标准为职工缴纳的基本医疗保险及公务员医疗补助等支出。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4.住房保障支出，用于机关及下属事业单位按照规定标准为职工缴纳住房公积金等支出。</w:t>
      </w:r>
    </w:p>
    <w:p>
      <w:pPr>
        <w:widowControl/>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4"/>
        <w:spacing w:line="560" w:lineRule="exact"/>
        <w:rPr>
          <w:rStyle w:val="27"/>
          <w:rFonts w:ascii="仿宋" w:hAnsi="仿宋" w:eastAsia="仿宋"/>
          <w:b w:val="0"/>
          <w:bCs w:val="0"/>
          <w:sz w:val="32"/>
          <w:szCs w:val="32"/>
        </w:rPr>
      </w:pPr>
      <w:bookmarkStart w:id="54" w:name="_Toc15396617"/>
      <w:r>
        <w:rPr>
          <w:rStyle w:val="27"/>
          <w:rFonts w:hint="eastAsia" w:ascii="仿宋" w:hAnsi="仿宋" w:eastAsia="仿宋"/>
          <w:b w:val="0"/>
          <w:bCs w:val="0"/>
          <w:sz w:val="32"/>
          <w:szCs w:val="32"/>
        </w:rPr>
        <w:t>附件2</w:t>
      </w:r>
      <w:bookmarkEnd w:id="54"/>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2020年阿坝州文化和旅游暨全域旅游发展大会志愿者工作经费</w:t>
      </w:r>
      <w:r>
        <w:rPr>
          <w:rFonts w:hint="eastAsia" w:ascii="方正小标宋简体" w:hAnsi="宋体" w:eastAsia="方正小标宋简体"/>
          <w:sz w:val="44"/>
          <w:szCs w:val="44"/>
        </w:rPr>
        <w:t>项目支出</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绩效</w:t>
      </w:r>
      <w:r>
        <w:rPr>
          <w:rFonts w:hint="eastAsia" w:ascii="方正小标宋简体" w:hAnsi="宋体" w:eastAsia="方正小标宋简体"/>
          <w:sz w:val="44"/>
          <w:szCs w:val="44"/>
          <w:lang w:eastAsia="zh-CN"/>
        </w:rPr>
        <w:t>评价</w:t>
      </w:r>
      <w:r>
        <w:rPr>
          <w:rFonts w:hint="eastAsia" w:ascii="方正小标宋简体" w:hAnsi="宋体" w:eastAsia="方正小标宋简体"/>
          <w:sz w:val="44"/>
          <w:szCs w:val="44"/>
        </w:rPr>
        <w:t>报告</w:t>
      </w:r>
    </w:p>
    <w:p>
      <w:pPr>
        <w:spacing w:line="560" w:lineRule="exact"/>
        <w:ind w:firstLine="640" w:firstLineChars="200"/>
        <w:rPr>
          <w:rFonts w:hint="eastAsia" w:ascii="仿宋_GB2312" w:eastAsia="仿宋_GB2312"/>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介绍项目基本情况，重点说明以下内容：</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zh-CN"/>
        </w:rPr>
        <w:t>（一）项目资金申报及批复情况。阿州财教〔2019〕65号，首批天府旅游名县奖励资金，（汶团〔2020〕16号，2020年</w:t>
      </w:r>
      <w:bookmarkStart w:id="55" w:name="OLE_LINK1"/>
      <w:r>
        <w:rPr>
          <w:rFonts w:hint="eastAsia" w:ascii="仿宋_GB2312" w:eastAsia="仿宋_GB2312"/>
          <w:sz w:val="32"/>
          <w:szCs w:val="32"/>
          <w:lang w:val="zh-CN"/>
        </w:rPr>
        <w:t>阿坝州文化和旅</w:t>
      </w:r>
      <w:r>
        <w:rPr>
          <w:rFonts w:hint="eastAsia" w:ascii="仿宋_GB2312" w:eastAsia="仿宋_GB2312"/>
          <w:sz w:val="32"/>
          <w:szCs w:val="32"/>
          <w:lang w:val="en-US" w:eastAsia="zh-CN"/>
        </w:rPr>
        <w:t>游</w:t>
      </w:r>
      <w:r>
        <w:rPr>
          <w:rFonts w:hint="eastAsia" w:ascii="仿宋_GB2312" w:eastAsia="仿宋_GB2312"/>
          <w:sz w:val="32"/>
          <w:szCs w:val="32"/>
          <w:lang w:val="zh-CN" w:eastAsia="zh-CN"/>
        </w:rPr>
        <w:t>暨</w:t>
      </w:r>
      <w:r>
        <w:rPr>
          <w:rFonts w:hint="eastAsia" w:ascii="仿宋_GB2312" w:eastAsia="仿宋_GB2312"/>
          <w:sz w:val="32"/>
          <w:szCs w:val="32"/>
          <w:lang w:val="zh-CN"/>
        </w:rPr>
        <w:t>全域旅游发展大会志愿者工作经费</w:t>
      </w:r>
      <w:bookmarkEnd w:id="55"/>
      <w:r>
        <w:rPr>
          <w:rFonts w:hint="eastAsia" w:ascii="仿宋_GB2312" w:eastAsia="仿宋_GB2312"/>
          <w:sz w:val="32"/>
          <w:szCs w:val="32"/>
          <w:lang w:val="zh-CN"/>
        </w:rPr>
        <w:t>），</w:t>
      </w:r>
      <w:r>
        <w:rPr>
          <w:rFonts w:hint="eastAsia" w:ascii="仿宋_GB2312" w:eastAsia="仿宋_GB2312"/>
          <w:sz w:val="32"/>
          <w:szCs w:val="32"/>
          <w:lang w:val="en-US" w:eastAsia="zh-CN"/>
        </w:rPr>
        <w:t>下达时间为2020年9月26日，资金总额共计90000元（大写：玖万元整）。</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zh-CN"/>
        </w:rPr>
        <w:t>（二）项目绩效目标。</w:t>
      </w:r>
      <w:r>
        <w:rPr>
          <w:rFonts w:hint="eastAsia" w:ascii="仿宋_GB2312" w:eastAsia="仿宋_GB2312"/>
          <w:sz w:val="32"/>
          <w:szCs w:val="32"/>
        </w:rPr>
        <w:t>为全力做好此次大会期间志愿服务工作，弘扬“奉献、友爱、互助、进步”志愿者精神，展示汶川青年志愿者面貌，助力汶川建成乐活、环保、休闲、养生、静居的生态康养慢生活度假区</w:t>
      </w:r>
      <w:r>
        <w:rPr>
          <w:rFonts w:hint="eastAsia" w:ascii="仿宋_GB2312" w:eastAsia="仿宋_GB2312"/>
          <w:sz w:val="32"/>
          <w:szCs w:val="32"/>
          <w:lang w:eastAsia="zh-CN"/>
        </w:rPr>
        <w:t>。</w:t>
      </w:r>
      <w:r>
        <w:rPr>
          <w:rFonts w:hint="eastAsia" w:ascii="仿宋_GB2312" w:eastAsia="仿宋_GB2312"/>
          <w:sz w:val="32"/>
          <w:szCs w:val="32"/>
          <w:lang w:val="en-US" w:eastAsia="zh-CN"/>
        </w:rPr>
        <w:t>该项资金主要用于志愿者活动期间礼仪服装制作费、人员的补助费、人员的交通费、培训场地的租赁费、常备药品、口罩等与活动相关的费用支出。</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zh-CN"/>
        </w:rPr>
        <w:t>（三）项目资金申报相符性。</w:t>
      </w:r>
      <w:r>
        <w:rPr>
          <w:rFonts w:hint="eastAsia" w:ascii="仿宋_GB2312" w:eastAsia="仿宋_GB2312"/>
          <w:sz w:val="32"/>
          <w:szCs w:val="32"/>
          <w:lang w:val="en-US" w:eastAsia="zh-CN"/>
        </w:rPr>
        <w:t>根据《共青团汶川县委员会关于拨付</w:t>
      </w:r>
      <w:r>
        <w:rPr>
          <w:rFonts w:hint="eastAsia" w:ascii="仿宋_GB2312" w:eastAsia="仿宋_GB2312"/>
          <w:sz w:val="32"/>
          <w:szCs w:val="32"/>
          <w:lang w:val="zh-CN"/>
        </w:rPr>
        <w:t>2020年阿坝州文化和旅游</w:t>
      </w:r>
      <w:r>
        <w:rPr>
          <w:rFonts w:hint="eastAsia" w:ascii="仿宋_GB2312" w:eastAsia="仿宋_GB2312"/>
          <w:sz w:val="32"/>
          <w:szCs w:val="32"/>
          <w:lang w:val="en-US" w:eastAsia="zh-CN"/>
        </w:rPr>
        <w:t>暨</w:t>
      </w:r>
      <w:r>
        <w:rPr>
          <w:rFonts w:hint="eastAsia" w:ascii="仿宋_GB2312" w:eastAsia="仿宋_GB2312"/>
          <w:sz w:val="32"/>
          <w:szCs w:val="32"/>
          <w:lang w:val="zh-CN"/>
        </w:rPr>
        <w:t>全域旅游发展大会志愿者工作经费</w:t>
      </w:r>
      <w:r>
        <w:rPr>
          <w:rFonts w:hint="eastAsia" w:ascii="仿宋_GB2312" w:eastAsia="仿宋_GB2312"/>
          <w:sz w:val="32"/>
          <w:szCs w:val="32"/>
          <w:lang w:val="en-US" w:eastAsia="zh-CN"/>
        </w:rPr>
        <w:t>的请示》（汶团【2020】16号）文件，请示县人民政府拨付91300元，实际下达</w:t>
      </w:r>
      <w:r>
        <w:rPr>
          <w:rFonts w:hint="eastAsia" w:ascii="仿宋_GB2312" w:eastAsia="仿宋_GB2312"/>
          <w:sz w:val="32"/>
          <w:szCs w:val="32"/>
          <w:lang w:val="zh-CN"/>
        </w:rPr>
        <w:t>2020年阿坝州文化和旅游</w:t>
      </w:r>
      <w:r>
        <w:rPr>
          <w:rFonts w:hint="eastAsia" w:ascii="仿宋_GB2312" w:eastAsia="仿宋_GB2312"/>
          <w:sz w:val="32"/>
          <w:szCs w:val="32"/>
          <w:lang w:val="en-US" w:eastAsia="zh-CN"/>
        </w:rPr>
        <w:t>暨</w:t>
      </w:r>
      <w:r>
        <w:rPr>
          <w:rFonts w:hint="eastAsia" w:ascii="仿宋_GB2312" w:eastAsia="仿宋_GB2312"/>
          <w:sz w:val="32"/>
          <w:szCs w:val="32"/>
          <w:lang w:val="zh-CN"/>
        </w:rPr>
        <w:t>全域旅游发展大会志愿者工作经费</w:t>
      </w:r>
      <w:r>
        <w:rPr>
          <w:rFonts w:hint="eastAsia" w:ascii="仿宋_GB2312" w:eastAsia="仿宋_GB2312"/>
          <w:sz w:val="32"/>
          <w:szCs w:val="32"/>
          <w:lang w:val="en-US" w:eastAsia="zh-CN"/>
        </w:rPr>
        <w:t>90000元。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二、项目实施及管理情况</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ab/>
      </w:r>
      <w:r>
        <w:rPr>
          <w:rFonts w:hint="eastAsia" w:ascii="仿宋_GB2312" w:eastAsia="仿宋_GB2312"/>
          <w:sz w:val="32"/>
          <w:szCs w:val="32"/>
          <w:lang w:val="zh-CN"/>
        </w:rPr>
        <w:t>（一）资金计划、到位及使用情况。</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1．资金计划及到位。该项目资金计划及</w:t>
      </w:r>
      <w:bookmarkStart w:id="70" w:name="_GoBack"/>
      <w:bookmarkEnd w:id="70"/>
      <w:r>
        <w:rPr>
          <w:rFonts w:hint="eastAsia" w:ascii="仿宋_GB2312" w:eastAsia="仿宋_GB2312"/>
          <w:sz w:val="32"/>
          <w:szCs w:val="32"/>
          <w:lang w:val="zh-CN"/>
        </w:rPr>
        <w:t>截止评价时点实际</w:t>
      </w:r>
      <w:r>
        <w:rPr>
          <w:rFonts w:hint="eastAsia" w:ascii="仿宋_GB2312" w:eastAsia="仿宋_GB2312"/>
          <w:sz w:val="32"/>
          <w:szCs w:val="32"/>
          <w:lang w:val="en-US" w:eastAsia="zh-CN"/>
        </w:rPr>
        <w:t>全部</w:t>
      </w:r>
      <w:r>
        <w:rPr>
          <w:rFonts w:hint="eastAsia" w:ascii="仿宋_GB2312" w:eastAsia="仿宋_GB2312"/>
          <w:sz w:val="32"/>
          <w:szCs w:val="32"/>
          <w:lang w:val="zh-CN"/>
        </w:rPr>
        <w:t>到位。</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2．资金使用。</w:t>
      </w:r>
      <w:r>
        <w:rPr>
          <w:rFonts w:hint="eastAsia" w:ascii="仿宋_GB2312" w:eastAsia="仿宋_GB2312"/>
          <w:sz w:val="32"/>
          <w:szCs w:val="32"/>
          <w:lang w:val="en-US" w:eastAsia="zh-CN"/>
        </w:rPr>
        <w:t>2020年底，</w:t>
      </w:r>
      <w:r>
        <w:rPr>
          <w:rFonts w:hint="eastAsia" w:ascii="仿宋_GB2312" w:eastAsia="仿宋_GB2312"/>
          <w:sz w:val="32"/>
          <w:szCs w:val="32"/>
          <w:lang w:val="zh-CN"/>
        </w:rPr>
        <w:t>项目资金的实际</w:t>
      </w:r>
      <w:r>
        <w:rPr>
          <w:rFonts w:hint="eastAsia" w:ascii="仿宋_GB2312" w:eastAsia="仿宋_GB2312"/>
          <w:sz w:val="32"/>
          <w:szCs w:val="32"/>
          <w:lang w:val="en-US" w:eastAsia="zh-CN"/>
        </w:rPr>
        <w:t>已</w:t>
      </w:r>
      <w:r>
        <w:rPr>
          <w:rFonts w:hint="eastAsia" w:ascii="仿宋_GB2312" w:eastAsia="仿宋_GB2312"/>
          <w:sz w:val="32"/>
          <w:szCs w:val="32"/>
          <w:lang w:val="zh-CN"/>
        </w:rPr>
        <w:t>支出</w:t>
      </w:r>
      <w:r>
        <w:rPr>
          <w:rFonts w:hint="eastAsia" w:ascii="仿宋_GB2312" w:eastAsia="仿宋_GB2312"/>
          <w:sz w:val="32"/>
          <w:szCs w:val="32"/>
          <w:lang w:val="en-US" w:eastAsia="zh-CN"/>
        </w:rPr>
        <w:t>59292元，占总指标的65.88%；</w:t>
      </w:r>
      <w:r>
        <w:rPr>
          <w:rFonts w:hint="eastAsia" w:ascii="仿宋_GB2312" w:eastAsia="仿宋_GB2312"/>
          <w:sz w:val="32"/>
          <w:szCs w:val="32"/>
          <w:lang w:val="zh-CN"/>
        </w:rPr>
        <w:t>资金开支范围</w:t>
      </w:r>
      <w:r>
        <w:rPr>
          <w:rFonts w:hint="eastAsia" w:ascii="仿宋_GB2312" w:eastAsia="仿宋_GB2312"/>
          <w:sz w:val="32"/>
          <w:szCs w:val="32"/>
          <w:lang w:val="en-US" w:eastAsia="zh-CN"/>
        </w:rPr>
        <w:t>主要是用于文旅大会期间志愿者培训讲师劳务费、志愿者的补助费、活动期间药物购买费等志愿服务活动相关费用支出</w:t>
      </w:r>
      <w:r>
        <w:rPr>
          <w:rFonts w:hint="eastAsia" w:ascii="仿宋_GB2312" w:eastAsia="仿宋_GB2312"/>
          <w:sz w:val="32"/>
          <w:szCs w:val="32"/>
          <w:lang w:val="zh-CN"/>
        </w:rPr>
        <w:t>；支付依据合规合法，资金支付与预算相符。</w:t>
      </w:r>
      <w:r>
        <w:rPr>
          <w:rFonts w:hint="eastAsia" w:ascii="仿宋_GB2312" w:eastAsia="仿宋_GB2312"/>
          <w:sz w:val="32"/>
          <w:szCs w:val="32"/>
          <w:lang w:val="en-US" w:eastAsia="zh-CN"/>
        </w:rPr>
        <w:t>结余资金为30708元，暂总指标的34.12%,计划用于后期四川省文旅大会志愿者所产生的费用</w:t>
      </w:r>
      <w:r>
        <w:rPr>
          <w:rFonts w:hint="eastAsia" w:ascii="仿宋_GB2312" w:eastAsia="仿宋_GB2312"/>
          <w:sz w:val="32"/>
          <w:szCs w:val="32"/>
          <w:lang w:val="zh-CN"/>
        </w:rPr>
        <w:t>。</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（二）项目财务管理情况。</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我委</w:t>
      </w:r>
      <w:r>
        <w:rPr>
          <w:rFonts w:hint="eastAsia" w:ascii="仿宋_GB2312" w:eastAsia="仿宋_GB2312"/>
          <w:sz w:val="32"/>
          <w:szCs w:val="32"/>
        </w:rPr>
        <w:t>对于重大开支项目及支出金额，须经集体研究审议批准后方可使用，严格按有关财务制度规定办理，加强支出过程控制。严格按照《会计法》有关规定办事，严格按照有关财务规章制度和开支范围及开支标准，做到账目清楚，日清月结；严格开支审批手续，各项支出要有合法凭证，并按经费审批权限，经财会部门审核报领导批准后，方可报销</w:t>
      </w:r>
      <w:r>
        <w:rPr>
          <w:rFonts w:hint="eastAsia" w:ascii="仿宋_GB2312" w:eastAsia="仿宋_GB2312"/>
          <w:sz w:val="32"/>
          <w:szCs w:val="32"/>
          <w:lang w:val="en-US" w:eastAsia="zh-CN"/>
        </w:rPr>
        <w:t>支付，我委严格执行</w:t>
      </w:r>
      <w:r>
        <w:rPr>
          <w:rFonts w:hint="eastAsia" w:ascii="仿宋_GB2312" w:eastAsia="仿宋_GB2312"/>
          <w:sz w:val="32"/>
          <w:szCs w:val="32"/>
          <w:lang w:val="zh-CN"/>
        </w:rPr>
        <w:t>项目资金管理办法，评价项目严格执行财务管理制度、财务处理及时、会计核算规范，</w:t>
      </w:r>
      <w:r>
        <w:rPr>
          <w:rFonts w:hint="eastAsia" w:ascii="仿宋_GB2312" w:eastAsia="仿宋_GB2312"/>
          <w:sz w:val="32"/>
          <w:szCs w:val="32"/>
          <w:lang w:val="en-US" w:eastAsia="zh-CN"/>
        </w:rPr>
        <w:t>资金使用合规、无截留、挪用等现象。</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（三）项目组织实施情况。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2020年活动期间我委共组织了100余名志愿者，主要负责参会嘉宾“一对一”接待工作；协调做好文旅大会资料（证件）等的发放；做好乘车服务工作；负责做好欢送用语、天气和重要日程提醒短信的编发，及时提供细致、温馨、规范的服务；协助开展一切志愿服务工作。2021年8月16日，我委组织并专车派送24名志愿者及讲解员前往九寨沟县漳扎镇参加为期40余天四川省文旅大会志愿者培训，做好文旅志愿服务工作。</w:t>
      </w:r>
    </w:p>
    <w:p>
      <w:pPr>
        <w:spacing w:line="560" w:lineRule="exact"/>
        <w:ind w:firstLine="640" w:firstLineChars="200"/>
        <w:rPr>
          <w:rFonts w:hint="eastAsia" w:ascii="仿宋_GB2312" w:eastAsia="仿宋_GB2312"/>
          <w:sz w:val="32"/>
          <w:szCs w:val="32"/>
          <w:lang w:val="zh-CN"/>
        </w:rPr>
      </w:pPr>
      <w:r>
        <w:rPr>
          <w:rFonts w:hint="eastAsia" w:ascii="黑体" w:hAnsi="黑体" w:eastAsia="黑体" w:cs="黑体"/>
          <w:sz w:val="32"/>
          <w:szCs w:val="32"/>
        </w:rPr>
        <w:t>三、项目绩效情况</w:t>
      </w:r>
      <w:r>
        <w:rPr>
          <w:rFonts w:hint="eastAsia" w:ascii="仿宋_GB2312" w:eastAsia="仿宋_GB2312"/>
          <w:sz w:val="32"/>
          <w:szCs w:val="32"/>
          <w:lang w:val="zh-CN"/>
        </w:rPr>
        <w:tab/>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（一）项目完成情况。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2020年志愿者们有序开展会场服务、区域引领、休息区服务、颁奖礼仪等工作。为保证服务效果，每一个环节志愿者们都已提前到达现场并进行实地预演，仔细听取主办方讲解活动流程，用心记住服务工作的各项细节，最终圆满完成活动。</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（二）项目效益情况。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2020年活动</w:t>
      </w:r>
      <w:r>
        <w:rPr>
          <w:rFonts w:hint="default" w:ascii="仿宋_GB2312" w:eastAsia="仿宋_GB2312"/>
          <w:sz w:val="32"/>
          <w:szCs w:val="32"/>
          <w:lang w:val="en-US" w:eastAsia="zh-CN"/>
        </w:rPr>
        <w:t>对</w:t>
      </w:r>
      <w:r>
        <w:rPr>
          <w:rFonts w:hint="eastAsia" w:ascii="仿宋_GB2312" w:eastAsia="仿宋_GB2312"/>
          <w:sz w:val="32"/>
          <w:szCs w:val="32"/>
          <w:lang w:val="en-US" w:eastAsia="zh-CN"/>
        </w:rPr>
        <w:t>所有</w:t>
      </w:r>
      <w:r>
        <w:rPr>
          <w:rFonts w:hint="default" w:ascii="仿宋_GB2312" w:eastAsia="仿宋_GB2312"/>
          <w:sz w:val="32"/>
          <w:szCs w:val="32"/>
          <w:lang w:val="en-US" w:eastAsia="zh-CN"/>
        </w:rPr>
        <w:t>嘉宾实行一对一</w:t>
      </w:r>
      <w:r>
        <w:rPr>
          <w:rFonts w:hint="eastAsia" w:ascii="仿宋_GB2312" w:eastAsia="仿宋_GB2312"/>
          <w:sz w:val="32"/>
          <w:szCs w:val="32"/>
          <w:lang w:val="en-US" w:eastAsia="zh-CN"/>
        </w:rPr>
        <w:t>接待</w:t>
      </w:r>
      <w:r>
        <w:rPr>
          <w:rFonts w:hint="default" w:ascii="仿宋_GB2312" w:eastAsia="仿宋_GB2312"/>
          <w:sz w:val="32"/>
          <w:szCs w:val="32"/>
          <w:lang w:val="en-US" w:eastAsia="zh-CN"/>
        </w:rPr>
        <w:t>服务，做到了周全、细致、严谨、热情，实现了让参会领导和嘉宾高兴而来、满意而归，确保了会务工作万无一失</w:t>
      </w:r>
      <w:r>
        <w:rPr>
          <w:rFonts w:hint="eastAsia" w:ascii="仿宋_GB2312" w:eastAsia="仿宋_GB2312"/>
          <w:sz w:val="32"/>
          <w:szCs w:val="32"/>
          <w:lang w:val="en-US" w:eastAsia="zh-CN"/>
        </w:rPr>
        <w:t>，</w:t>
      </w:r>
      <w:r>
        <w:rPr>
          <w:rFonts w:hint="eastAsia" w:ascii="仿宋_GB2312" w:eastAsia="仿宋_GB2312"/>
          <w:sz w:val="32"/>
          <w:szCs w:val="32"/>
        </w:rPr>
        <w:t>奉献，友爱，互助，进步，这是志愿者精神，更是本次大会志愿服务的宗旨。团县委通过前期的精心组织、认真筹备、多次演练，组织志愿者们圆满完成大会志愿服务工作，集中展现了汶川青年朝气蓬勃、昂扬向上的精神风貌</w:t>
      </w:r>
      <w:r>
        <w:rPr>
          <w:rFonts w:hint="eastAsia" w:ascii="仿宋_GB2312" w:eastAsia="仿宋_GB2312"/>
          <w:sz w:val="32"/>
          <w:szCs w:val="32"/>
          <w:lang w:eastAsia="zh-CN"/>
        </w:rPr>
        <w:t>，</w:t>
      </w:r>
      <w:r>
        <w:rPr>
          <w:rFonts w:hint="eastAsia" w:ascii="仿宋_GB2312" w:eastAsia="仿宋_GB2312"/>
          <w:sz w:val="32"/>
          <w:szCs w:val="32"/>
          <w:lang w:val="en-US" w:eastAsia="zh-CN"/>
        </w:rPr>
        <w:t>2021年志愿者们正进行集中培训，将在四川省文旅大会中展现阿坝风采、汶川风采。</w:t>
      </w:r>
      <w:r>
        <w:rPr>
          <w:rFonts w:hint="eastAsia" w:ascii="仿宋_GB2312" w:eastAsia="仿宋_GB2312"/>
          <w:sz w:val="32"/>
          <w:szCs w:val="32"/>
        </w:rPr>
        <w:t>下一步，团县委将继续努力，充分发挥共青团作用，为高质量创建“无忧地·慢生活”国家级旅游度假区贡献青春力量</w:t>
      </w:r>
      <w:r>
        <w:rPr>
          <w:rFonts w:hint="eastAsia" w:ascii="仿宋_GB2312" w:eastAsia="仿宋_GB2312"/>
          <w:sz w:val="32"/>
          <w:szCs w:val="32"/>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四、问题及建议</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（一）存在的问题。</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存在资金开支时间进度不均衡的问题、资金支付以实际发生活动为准，故存在支付进度缓慢的情况。</w:t>
      </w:r>
    </w:p>
    <w:p>
      <w:pPr>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en-US" w:eastAsia="zh-CN"/>
        </w:rPr>
        <w:t>（二）下一步计划</w:t>
      </w:r>
      <w:r>
        <w:rPr>
          <w:rFonts w:hint="eastAsia" w:ascii="仿宋_GB2312" w:eastAsia="仿宋_GB2312"/>
          <w:sz w:val="32"/>
          <w:szCs w:val="32"/>
          <w:lang w:val="zh-CN"/>
        </w:rPr>
        <w:t>。</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认真总结，完善机制和制度，着力抓好经费预算规范管理，提前谋划文旅活动即人员安排等工作，合理合规使用资金，加快支出进度，提高资金使用效率，切实发挥项目资金的绩效作用。</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rPr>
          <w:rStyle w:val="27"/>
          <w:rFonts w:ascii="仿宋" w:hAnsi="仿宋" w:eastAsia="仿宋" w:cs="仿宋_GB2312"/>
          <w:b w:val="0"/>
          <w:bCs w:val="0"/>
          <w:kern w:val="2"/>
          <w:sz w:val="32"/>
          <w:szCs w:val="32"/>
        </w:rPr>
      </w:pPr>
    </w:p>
    <w:p>
      <w:pPr>
        <w:spacing w:line="560" w:lineRule="exact"/>
        <w:jc w:val="center"/>
        <w:outlineLvl w:val="0"/>
        <w:rPr>
          <w:rFonts w:ascii="方正小标宋简体" w:hAnsi="方正小标宋简体" w:eastAsia="方正小标宋简体" w:cs="方正小标宋简体"/>
          <w:color w:val="000000"/>
          <w:sz w:val="44"/>
          <w:szCs w:val="44"/>
        </w:rPr>
      </w:pPr>
      <w:bookmarkStart w:id="56" w:name="_Toc15396618"/>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both"/>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p>
    <w:p>
      <w:pPr>
        <w:spacing w:line="560" w:lineRule="exact"/>
        <w:jc w:val="center"/>
        <w:outlineLvl w:val="0"/>
        <w:rPr>
          <w:rStyle w:val="27"/>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27"/>
          <w:rFonts w:hint="eastAsia" w:ascii="方正小标宋简体" w:hAnsi="方正小标宋简体" w:eastAsia="方正小标宋简体" w:cs="方正小标宋简体"/>
          <w:b w:val="0"/>
        </w:rPr>
        <w:t>五部分 附表</w:t>
      </w:r>
      <w:bookmarkEnd w:id="50"/>
      <w:bookmarkEnd w:id="56"/>
    </w:p>
    <w:p>
      <w:pPr>
        <w:spacing w:line="560" w:lineRule="exact"/>
        <w:jc w:val="center"/>
        <w:outlineLvl w:val="0"/>
        <w:rPr>
          <w:rFonts w:ascii="仿宋" w:hAnsi="仿宋" w:eastAsia="仿宋"/>
          <w:b/>
          <w:color w:val="000000"/>
          <w:sz w:val="44"/>
          <w:szCs w:val="44"/>
        </w:rPr>
      </w:pPr>
    </w:p>
    <w:p>
      <w:pPr>
        <w:pStyle w:val="4"/>
        <w:spacing w:line="560" w:lineRule="exact"/>
        <w:rPr>
          <w:rFonts w:ascii="仿宋" w:hAnsi="仿宋" w:eastAsia="仿宋"/>
          <w:color w:val="000000"/>
        </w:rPr>
      </w:pPr>
      <w:bookmarkStart w:id="57"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57"/>
    </w:p>
    <w:p>
      <w:pPr>
        <w:pStyle w:val="4"/>
        <w:spacing w:line="560" w:lineRule="exact"/>
        <w:rPr>
          <w:rFonts w:ascii="仿宋" w:hAnsi="仿宋" w:eastAsia="仿宋"/>
          <w:color w:val="000000"/>
        </w:rPr>
      </w:pPr>
      <w:bookmarkStart w:id="58"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58"/>
    </w:p>
    <w:p>
      <w:pPr>
        <w:pStyle w:val="4"/>
        <w:spacing w:line="560" w:lineRule="exact"/>
        <w:rPr>
          <w:rFonts w:ascii="仿宋" w:hAnsi="仿宋" w:eastAsia="仿宋"/>
          <w:color w:val="000000"/>
        </w:rPr>
      </w:pPr>
      <w:bookmarkStart w:id="59"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59"/>
    </w:p>
    <w:p>
      <w:pPr>
        <w:pStyle w:val="4"/>
        <w:spacing w:line="560" w:lineRule="exact"/>
        <w:rPr>
          <w:rFonts w:ascii="仿宋" w:hAnsi="仿宋" w:eastAsia="仿宋"/>
          <w:b w:val="0"/>
          <w:color w:val="000000"/>
        </w:rPr>
      </w:pPr>
      <w:bookmarkStart w:id="60"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0"/>
    </w:p>
    <w:p>
      <w:pPr>
        <w:pStyle w:val="4"/>
        <w:spacing w:line="560" w:lineRule="exact"/>
        <w:rPr>
          <w:rFonts w:ascii="仿宋" w:hAnsi="仿宋" w:eastAsia="仿宋"/>
          <w:color w:val="000000"/>
        </w:rPr>
      </w:pPr>
      <w:bookmarkStart w:id="61"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61"/>
    </w:p>
    <w:p>
      <w:pPr>
        <w:pStyle w:val="4"/>
        <w:spacing w:line="560" w:lineRule="exact"/>
        <w:rPr>
          <w:rFonts w:ascii="仿宋" w:hAnsi="仿宋" w:eastAsia="仿宋"/>
          <w:color w:val="000000"/>
        </w:rPr>
      </w:pPr>
      <w:bookmarkStart w:id="62"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2"/>
    </w:p>
    <w:p>
      <w:pPr>
        <w:pStyle w:val="4"/>
        <w:spacing w:line="560" w:lineRule="exact"/>
        <w:rPr>
          <w:rFonts w:ascii="仿宋" w:hAnsi="仿宋" w:eastAsia="仿宋"/>
          <w:color w:val="000000"/>
        </w:rPr>
      </w:pPr>
      <w:bookmarkStart w:id="63"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3"/>
    </w:p>
    <w:p>
      <w:pPr>
        <w:pStyle w:val="4"/>
        <w:spacing w:line="560" w:lineRule="exact"/>
        <w:rPr>
          <w:rFonts w:ascii="仿宋" w:hAnsi="仿宋" w:eastAsia="仿宋"/>
          <w:color w:val="000000"/>
        </w:rPr>
      </w:pPr>
      <w:bookmarkStart w:id="64"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4"/>
    </w:p>
    <w:p>
      <w:pPr>
        <w:pStyle w:val="4"/>
        <w:spacing w:line="560" w:lineRule="exact"/>
        <w:rPr>
          <w:rFonts w:ascii="仿宋" w:hAnsi="仿宋" w:eastAsia="仿宋"/>
          <w:color w:val="000000"/>
        </w:rPr>
      </w:pPr>
      <w:bookmarkStart w:id="65"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5"/>
    </w:p>
    <w:p>
      <w:pPr>
        <w:pStyle w:val="4"/>
        <w:spacing w:line="560" w:lineRule="exact"/>
        <w:rPr>
          <w:rFonts w:ascii="仿宋" w:hAnsi="仿宋" w:eastAsia="仿宋"/>
          <w:color w:val="000000"/>
        </w:rPr>
      </w:pPr>
      <w:bookmarkStart w:id="66"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6"/>
    </w:p>
    <w:p>
      <w:pPr>
        <w:pStyle w:val="4"/>
        <w:spacing w:line="560" w:lineRule="exact"/>
        <w:rPr>
          <w:rFonts w:ascii="仿宋" w:hAnsi="仿宋" w:eastAsia="仿宋"/>
          <w:color w:val="000000"/>
        </w:rPr>
      </w:pPr>
      <w:bookmarkStart w:id="67"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67"/>
    </w:p>
    <w:p>
      <w:pPr>
        <w:pStyle w:val="4"/>
        <w:spacing w:line="560" w:lineRule="exact"/>
        <w:rPr>
          <w:rFonts w:ascii="仿宋" w:hAnsi="仿宋" w:eastAsia="仿宋"/>
          <w:color w:val="000000"/>
        </w:rPr>
      </w:pPr>
      <w:bookmarkStart w:id="68"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68"/>
    </w:p>
    <w:p>
      <w:pPr>
        <w:pStyle w:val="4"/>
        <w:spacing w:line="560" w:lineRule="exact"/>
        <w:rPr>
          <w:rFonts w:ascii="仿宋" w:hAnsi="仿宋" w:eastAsia="仿宋"/>
          <w:color w:val="000000" w:themeColor="text1"/>
          <w14:textFill>
            <w14:solidFill>
              <w14:schemeClr w14:val="tx1"/>
            </w14:solidFill>
          </w14:textFill>
        </w:rPr>
      </w:pPr>
      <w:bookmarkStart w:id="69"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69"/>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dobe 楷体 Std R">
    <w:altName w:val="宋体"/>
    <w:panose1 w:val="000000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10"/>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2"/>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4F696"/>
    <w:multiLevelType w:val="singleLevel"/>
    <w:tmpl w:val="CE24F696"/>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ZjgyYmRlNWI1ZTM4ZDNlMWUzODdkMDFlMjAzYTcifQ=="/>
  </w:docVars>
  <w:rsids>
    <w:rsidRoot w:val="00F1361C"/>
    <w:rsid w:val="000222C6"/>
    <w:rsid w:val="00022BB6"/>
    <w:rsid w:val="0002549F"/>
    <w:rsid w:val="00027868"/>
    <w:rsid w:val="00052B32"/>
    <w:rsid w:val="0006487A"/>
    <w:rsid w:val="00065F8F"/>
    <w:rsid w:val="000768F2"/>
    <w:rsid w:val="0009184B"/>
    <w:rsid w:val="0009593C"/>
    <w:rsid w:val="000B047F"/>
    <w:rsid w:val="000B5923"/>
    <w:rsid w:val="000B5A48"/>
    <w:rsid w:val="000B6FF3"/>
    <w:rsid w:val="000C3467"/>
    <w:rsid w:val="000C3CA6"/>
    <w:rsid w:val="000D1267"/>
    <w:rsid w:val="000D1D50"/>
    <w:rsid w:val="000D3455"/>
    <w:rsid w:val="000D5782"/>
    <w:rsid w:val="000E6613"/>
    <w:rsid w:val="000E7119"/>
    <w:rsid w:val="001143C7"/>
    <w:rsid w:val="00114E9B"/>
    <w:rsid w:val="00126855"/>
    <w:rsid w:val="0013567E"/>
    <w:rsid w:val="00136FCD"/>
    <w:rsid w:val="001415A7"/>
    <w:rsid w:val="001459AE"/>
    <w:rsid w:val="00145E78"/>
    <w:rsid w:val="0014729F"/>
    <w:rsid w:val="0015731A"/>
    <w:rsid w:val="00157BAB"/>
    <w:rsid w:val="001636C3"/>
    <w:rsid w:val="001654D1"/>
    <w:rsid w:val="0018106D"/>
    <w:rsid w:val="001877A7"/>
    <w:rsid w:val="00191536"/>
    <w:rsid w:val="00195C97"/>
    <w:rsid w:val="00196687"/>
    <w:rsid w:val="001B0D38"/>
    <w:rsid w:val="001B6CD1"/>
    <w:rsid w:val="001C0962"/>
    <w:rsid w:val="001C29A7"/>
    <w:rsid w:val="001D7531"/>
    <w:rsid w:val="001E21EA"/>
    <w:rsid w:val="001E737D"/>
    <w:rsid w:val="001F0592"/>
    <w:rsid w:val="001F32BC"/>
    <w:rsid w:val="001F7506"/>
    <w:rsid w:val="002006CD"/>
    <w:rsid w:val="00202B36"/>
    <w:rsid w:val="00204B7A"/>
    <w:rsid w:val="0021101A"/>
    <w:rsid w:val="00214610"/>
    <w:rsid w:val="00220536"/>
    <w:rsid w:val="00235629"/>
    <w:rsid w:val="00240440"/>
    <w:rsid w:val="00257A96"/>
    <w:rsid w:val="00260C38"/>
    <w:rsid w:val="002616C0"/>
    <w:rsid w:val="002662AA"/>
    <w:rsid w:val="002776F4"/>
    <w:rsid w:val="00277BDB"/>
    <w:rsid w:val="00280496"/>
    <w:rsid w:val="00295470"/>
    <w:rsid w:val="00295495"/>
    <w:rsid w:val="002B2613"/>
    <w:rsid w:val="002C7574"/>
    <w:rsid w:val="002F1818"/>
    <w:rsid w:val="002F567B"/>
    <w:rsid w:val="003216A9"/>
    <w:rsid w:val="0033285D"/>
    <w:rsid w:val="00344532"/>
    <w:rsid w:val="0035377F"/>
    <w:rsid w:val="0037013F"/>
    <w:rsid w:val="00380C92"/>
    <w:rsid w:val="003A484F"/>
    <w:rsid w:val="003B0BE0"/>
    <w:rsid w:val="003B0C1B"/>
    <w:rsid w:val="003B688C"/>
    <w:rsid w:val="003C0291"/>
    <w:rsid w:val="003C39AE"/>
    <w:rsid w:val="003C7B60"/>
    <w:rsid w:val="003D1FB2"/>
    <w:rsid w:val="003D66DA"/>
    <w:rsid w:val="003E1310"/>
    <w:rsid w:val="003E2AD9"/>
    <w:rsid w:val="003E6F55"/>
    <w:rsid w:val="00406254"/>
    <w:rsid w:val="004223DE"/>
    <w:rsid w:val="004232D7"/>
    <w:rsid w:val="00434489"/>
    <w:rsid w:val="00437085"/>
    <w:rsid w:val="004410EE"/>
    <w:rsid w:val="00443880"/>
    <w:rsid w:val="004464F4"/>
    <w:rsid w:val="00451616"/>
    <w:rsid w:val="004530F6"/>
    <w:rsid w:val="00471401"/>
    <w:rsid w:val="00473F31"/>
    <w:rsid w:val="0048263A"/>
    <w:rsid w:val="00487E5D"/>
    <w:rsid w:val="004A00C5"/>
    <w:rsid w:val="004A711F"/>
    <w:rsid w:val="004B199D"/>
    <w:rsid w:val="004B4690"/>
    <w:rsid w:val="004E0A2D"/>
    <w:rsid w:val="004E206B"/>
    <w:rsid w:val="004E6DF7"/>
    <w:rsid w:val="004F0FBD"/>
    <w:rsid w:val="005049FF"/>
    <w:rsid w:val="00505A47"/>
    <w:rsid w:val="005064BA"/>
    <w:rsid w:val="00512FDA"/>
    <w:rsid w:val="00520DA0"/>
    <w:rsid w:val="005664BB"/>
    <w:rsid w:val="0057481D"/>
    <w:rsid w:val="0058486E"/>
    <w:rsid w:val="00587703"/>
    <w:rsid w:val="005951CB"/>
    <w:rsid w:val="0059703D"/>
    <w:rsid w:val="005D1C8B"/>
    <w:rsid w:val="005D5CED"/>
    <w:rsid w:val="005E1B96"/>
    <w:rsid w:val="005F1A4C"/>
    <w:rsid w:val="005F3F4F"/>
    <w:rsid w:val="00600B0B"/>
    <w:rsid w:val="00605688"/>
    <w:rsid w:val="006070AF"/>
    <w:rsid w:val="00607E6C"/>
    <w:rsid w:val="006101B1"/>
    <w:rsid w:val="00614E44"/>
    <w:rsid w:val="00622830"/>
    <w:rsid w:val="006277F3"/>
    <w:rsid w:val="00630AEF"/>
    <w:rsid w:val="006325F8"/>
    <w:rsid w:val="006337A1"/>
    <w:rsid w:val="00634C9A"/>
    <w:rsid w:val="006440E4"/>
    <w:rsid w:val="00646D16"/>
    <w:rsid w:val="0065418F"/>
    <w:rsid w:val="0066343B"/>
    <w:rsid w:val="00664777"/>
    <w:rsid w:val="006748A4"/>
    <w:rsid w:val="00683E73"/>
    <w:rsid w:val="00687669"/>
    <w:rsid w:val="00692900"/>
    <w:rsid w:val="006A3141"/>
    <w:rsid w:val="006A5E34"/>
    <w:rsid w:val="006B2422"/>
    <w:rsid w:val="006B2B9A"/>
    <w:rsid w:val="006B3207"/>
    <w:rsid w:val="006B3A12"/>
    <w:rsid w:val="006C1937"/>
    <w:rsid w:val="006F020C"/>
    <w:rsid w:val="006F4D6F"/>
    <w:rsid w:val="007127B7"/>
    <w:rsid w:val="00712B8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371B"/>
    <w:rsid w:val="007F55FC"/>
    <w:rsid w:val="007F5665"/>
    <w:rsid w:val="00800112"/>
    <w:rsid w:val="00816C7F"/>
    <w:rsid w:val="008253BB"/>
    <w:rsid w:val="008350E0"/>
    <w:rsid w:val="0083706E"/>
    <w:rsid w:val="008423A5"/>
    <w:rsid w:val="00850625"/>
    <w:rsid w:val="00853718"/>
    <w:rsid w:val="00855221"/>
    <w:rsid w:val="00860645"/>
    <w:rsid w:val="0086745E"/>
    <w:rsid w:val="00871F71"/>
    <w:rsid w:val="00885AF4"/>
    <w:rsid w:val="008939CD"/>
    <w:rsid w:val="008B768C"/>
    <w:rsid w:val="008C4DB1"/>
    <w:rsid w:val="008C4EAF"/>
    <w:rsid w:val="008C5176"/>
    <w:rsid w:val="008C7FD0"/>
    <w:rsid w:val="008E1DE7"/>
    <w:rsid w:val="008E2308"/>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1688B"/>
    <w:rsid w:val="00A237D8"/>
    <w:rsid w:val="00A2483D"/>
    <w:rsid w:val="00A268C4"/>
    <w:rsid w:val="00A307CD"/>
    <w:rsid w:val="00A35A48"/>
    <w:rsid w:val="00A40A00"/>
    <w:rsid w:val="00A4142F"/>
    <w:rsid w:val="00A56DF2"/>
    <w:rsid w:val="00A62C6F"/>
    <w:rsid w:val="00A671F6"/>
    <w:rsid w:val="00A67AB5"/>
    <w:rsid w:val="00A91760"/>
    <w:rsid w:val="00A93B00"/>
    <w:rsid w:val="00A93C21"/>
    <w:rsid w:val="00A977B1"/>
    <w:rsid w:val="00AC3C6A"/>
    <w:rsid w:val="00AD5620"/>
    <w:rsid w:val="00AD7C1B"/>
    <w:rsid w:val="00AE16BA"/>
    <w:rsid w:val="00AE1EBE"/>
    <w:rsid w:val="00B03C9D"/>
    <w:rsid w:val="00B060AE"/>
    <w:rsid w:val="00B10517"/>
    <w:rsid w:val="00B1108E"/>
    <w:rsid w:val="00B14E76"/>
    <w:rsid w:val="00B161B8"/>
    <w:rsid w:val="00B2048C"/>
    <w:rsid w:val="00B20E70"/>
    <w:rsid w:val="00B21B3C"/>
    <w:rsid w:val="00B310B9"/>
    <w:rsid w:val="00B35F3F"/>
    <w:rsid w:val="00B36CBB"/>
    <w:rsid w:val="00B425E0"/>
    <w:rsid w:val="00B440AA"/>
    <w:rsid w:val="00B44B70"/>
    <w:rsid w:val="00B53C56"/>
    <w:rsid w:val="00B56DA8"/>
    <w:rsid w:val="00B72703"/>
    <w:rsid w:val="00B77EA6"/>
    <w:rsid w:val="00B81598"/>
    <w:rsid w:val="00B841F1"/>
    <w:rsid w:val="00B944D6"/>
    <w:rsid w:val="00BB4DF0"/>
    <w:rsid w:val="00BC289F"/>
    <w:rsid w:val="00BC5361"/>
    <w:rsid w:val="00BC5460"/>
    <w:rsid w:val="00BC6B50"/>
    <w:rsid w:val="00BD0E25"/>
    <w:rsid w:val="00BF5BD6"/>
    <w:rsid w:val="00C00277"/>
    <w:rsid w:val="00C03E31"/>
    <w:rsid w:val="00C33E72"/>
    <w:rsid w:val="00C354B2"/>
    <w:rsid w:val="00C35554"/>
    <w:rsid w:val="00C414DA"/>
    <w:rsid w:val="00C42709"/>
    <w:rsid w:val="00C533CC"/>
    <w:rsid w:val="00C5751C"/>
    <w:rsid w:val="00C60CC6"/>
    <w:rsid w:val="00C61BFC"/>
    <w:rsid w:val="00C62B85"/>
    <w:rsid w:val="00C65438"/>
    <w:rsid w:val="00C91CBB"/>
    <w:rsid w:val="00CB6807"/>
    <w:rsid w:val="00CC09B6"/>
    <w:rsid w:val="00CC666F"/>
    <w:rsid w:val="00CD1E3F"/>
    <w:rsid w:val="00CE3055"/>
    <w:rsid w:val="00CE44F6"/>
    <w:rsid w:val="00CE49DA"/>
    <w:rsid w:val="00CE56F4"/>
    <w:rsid w:val="00CE7B61"/>
    <w:rsid w:val="00CF4F5E"/>
    <w:rsid w:val="00D00095"/>
    <w:rsid w:val="00D20620"/>
    <w:rsid w:val="00D26091"/>
    <w:rsid w:val="00D31C35"/>
    <w:rsid w:val="00D34E7C"/>
    <w:rsid w:val="00D35489"/>
    <w:rsid w:val="00D51276"/>
    <w:rsid w:val="00D7035F"/>
    <w:rsid w:val="00D707D8"/>
    <w:rsid w:val="00D95F78"/>
    <w:rsid w:val="00DA320F"/>
    <w:rsid w:val="00DA65AC"/>
    <w:rsid w:val="00DB1913"/>
    <w:rsid w:val="00DB56CF"/>
    <w:rsid w:val="00DC410D"/>
    <w:rsid w:val="00DC68CA"/>
    <w:rsid w:val="00DC7CBA"/>
    <w:rsid w:val="00DD73B7"/>
    <w:rsid w:val="00DF28BC"/>
    <w:rsid w:val="00DF34B9"/>
    <w:rsid w:val="00E01053"/>
    <w:rsid w:val="00E02453"/>
    <w:rsid w:val="00E0247A"/>
    <w:rsid w:val="00E07ACF"/>
    <w:rsid w:val="00E331A1"/>
    <w:rsid w:val="00E33202"/>
    <w:rsid w:val="00E336A9"/>
    <w:rsid w:val="00E50624"/>
    <w:rsid w:val="00E568DF"/>
    <w:rsid w:val="00E64269"/>
    <w:rsid w:val="00E82267"/>
    <w:rsid w:val="00EA010F"/>
    <w:rsid w:val="00EB75B1"/>
    <w:rsid w:val="00ED1B63"/>
    <w:rsid w:val="00ED3C1F"/>
    <w:rsid w:val="00ED4085"/>
    <w:rsid w:val="00ED420E"/>
    <w:rsid w:val="00EE2F57"/>
    <w:rsid w:val="00EE718F"/>
    <w:rsid w:val="00EF4C34"/>
    <w:rsid w:val="00EF5A08"/>
    <w:rsid w:val="00EF77C6"/>
    <w:rsid w:val="00F05438"/>
    <w:rsid w:val="00F1361C"/>
    <w:rsid w:val="00F160C7"/>
    <w:rsid w:val="00F36D8F"/>
    <w:rsid w:val="00F417B1"/>
    <w:rsid w:val="00F602DF"/>
    <w:rsid w:val="00F81FD9"/>
    <w:rsid w:val="00F841AA"/>
    <w:rsid w:val="00F95A82"/>
    <w:rsid w:val="00FA23E8"/>
    <w:rsid w:val="00FD0CBA"/>
    <w:rsid w:val="00FD3CC1"/>
    <w:rsid w:val="00FE3C6D"/>
    <w:rsid w:val="00FF1E02"/>
    <w:rsid w:val="00FF30B4"/>
    <w:rsid w:val="038F1800"/>
    <w:rsid w:val="0B470D65"/>
    <w:rsid w:val="0CD71E81"/>
    <w:rsid w:val="10C055FF"/>
    <w:rsid w:val="14C156FD"/>
    <w:rsid w:val="16BB723D"/>
    <w:rsid w:val="16DA1CD3"/>
    <w:rsid w:val="185F05D5"/>
    <w:rsid w:val="1A677AA9"/>
    <w:rsid w:val="1C540A39"/>
    <w:rsid w:val="240371BF"/>
    <w:rsid w:val="2556438B"/>
    <w:rsid w:val="257415ED"/>
    <w:rsid w:val="258C4618"/>
    <w:rsid w:val="27521B41"/>
    <w:rsid w:val="29AA5778"/>
    <w:rsid w:val="29FD04D3"/>
    <w:rsid w:val="2E070593"/>
    <w:rsid w:val="319F7F4E"/>
    <w:rsid w:val="35DD1DD7"/>
    <w:rsid w:val="36F334C7"/>
    <w:rsid w:val="40986BD6"/>
    <w:rsid w:val="472A541D"/>
    <w:rsid w:val="47AB00B5"/>
    <w:rsid w:val="47FD689D"/>
    <w:rsid w:val="4A611C6E"/>
    <w:rsid w:val="4C9C6C89"/>
    <w:rsid w:val="4D8425E1"/>
    <w:rsid w:val="538D57E8"/>
    <w:rsid w:val="53DA41D2"/>
    <w:rsid w:val="54394D48"/>
    <w:rsid w:val="544A5929"/>
    <w:rsid w:val="5B0B4417"/>
    <w:rsid w:val="61F15A5C"/>
    <w:rsid w:val="672819CB"/>
    <w:rsid w:val="6F41338F"/>
    <w:rsid w:val="74996D3A"/>
    <w:rsid w:val="74A17D70"/>
    <w:rsid w:val="789A7C79"/>
    <w:rsid w:val="790454A6"/>
    <w:rsid w:val="79A33D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3">
    <w:name w:val="标题 4 Char"/>
    <w:basedOn w:val="16"/>
    <w:link w:val="6"/>
    <w:qFormat/>
    <w:uiPriority w:val="9"/>
    <w:rPr>
      <w:rFonts w:asciiTheme="majorHAnsi" w:hAnsiTheme="majorHAnsi" w:eastAsiaTheme="majorEastAsia" w:cstheme="majorBidi"/>
      <w:b/>
      <w:bCs/>
      <w:kern w:val="2"/>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2A60D-C704-4F83-A1D3-570D21C4104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16491</Words>
  <Characters>17599</Characters>
  <Lines>44</Lines>
  <Paragraphs>58</Paragraphs>
  <TotalTime>14</TotalTime>
  <ScaleCrop>false</ScaleCrop>
  <LinksUpToDate>false</LinksUpToDate>
  <CharactersWithSpaces>17776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2020-10-10T03:56:00Z</dcterms:created>
  <dc:creator>张彬茜</dc:creator>
  <cp:lastModifiedBy>Administrator</cp:lastModifiedBy>
  <cp:lastPrinted>2021-09-14T08:23:00Z</cp:lastPrinted>
  <dcterms:modified xsi:type="dcterms:W3CDTF">2022-05-11T11:01:48Z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D6B09C578976495F95633F2FDC09478E</vt:lpwstr>
  </property>
</Properties>
</file>