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jc w:val="center"/>
        <w:rPr>
          <w:rFonts w:ascii="黑体" w:hAnsi="黑体" w:eastAsia="黑体"/>
          <w:sz w:val="72"/>
          <w:szCs w:val="72"/>
        </w:rPr>
      </w:pPr>
      <w:bookmarkStart w:id="1" w:name="_Toc15396597"/>
      <w:bookmarkStart w:id="2" w:name="_Toc15396475"/>
      <w:bookmarkStart w:id="3" w:name="_Toc15377425"/>
      <w:bookmarkStart w:id="4" w:name="_Toc15377193"/>
      <w:bookmarkStart w:id="5" w:name="_Toc15378441"/>
      <w:r>
        <w:rPr>
          <w:rFonts w:ascii="黑体" w:hAnsi="黑体" w:eastAsia="黑体"/>
          <w:sz w:val="72"/>
          <w:szCs w:val="72"/>
        </w:rPr>
        <w:t>2020</w:t>
      </w:r>
      <w:r>
        <w:rPr>
          <w:rFonts w:hint="eastAsia" w:ascii="黑体" w:hAnsi="黑体" w:eastAsia="黑体"/>
          <w:sz w:val="72"/>
          <w:szCs w:val="72"/>
        </w:rPr>
        <w:t>年度</w:t>
      </w:r>
      <w:bookmarkEnd w:id="1"/>
      <w:bookmarkEnd w:id="2"/>
      <w:bookmarkEnd w:id="3"/>
      <w:bookmarkEnd w:id="4"/>
      <w:bookmarkEnd w:id="5"/>
    </w:p>
    <w:p>
      <w:pPr>
        <w:jc w:val="center"/>
        <w:rPr>
          <w:rFonts w:ascii="方正小标宋简体" w:eastAsia="方正小标宋简体"/>
          <w:sz w:val="72"/>
          <w:szCs w:val="72"/>
        </w:rPr>
      </w:pPr>
      <w:bookmarkStart w:id="6" w:name="_Toc15396476"/>
      <w:bookmarkStart w:id="7" w:name="_Toc15377426"/>
      <w:bookmarkStart w:id="8" w:name="_Toc15377194"/>
      <w:bookmarkStart w:id="9" w:name="_Toc15396598"/>
      <w:bookmarkStart w:id="10" w:name="_Toc15378442"/>
      <w:r>
        <w:rPr>
          <w:rFonts w:hint="eastAsia" w:ascii="方正小标宋简体" w:eastAsia="方正小标宋简体"/>
          <w:sz w:val="72"/>
          <w:szCs w:val="72"/>
        </w:rPr>
        <w:t>四川省阿坝州</w:t>
      </w:r>
      <w:bookmarkEnd w:id="0"/>
      <w:bookmarkStart w:id="11" w:name="_Toc15306268"/>
      <w:r>
        <w:rPr>
          <w:rFonts w:hint="eastAsia" w:ascii="方正小标宋简体" w:eastAsia="方正小标宋简体"/>
          <w:sz w:val="72"/>
          <w:szCs w:val="72"/>
          <w:lang w:eastAsia="zh-CN"/>
        </w:rPr>
        <w:t>汶川县概算审查中心</w:t>
      </w:r>
      <w:r>
        <w:rPr>
          <w:rFonts w:hint="eastAsia" w:ascii="方正小标宋简体" w:eastAsia="方正小标宋简体"/>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保密审查情况：已审查，内容审定</w:t>
      </w: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部门主要负责人审签情况：已审签，同意对外公开</w:t>
      </w:r>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pStyle w:val="11"/>
        <w:jc w:val="center"/>
        <w:rPr>
          <w:rFonts w:hAnsiTheme="minorHAnsi"/>
          <w:b w:val="0"/>
          <w:bCs w:val="0"/>
          <w:sz w:val="24"/>
          <w:szCs w:val="24"/>
        </w:rPr>
      </w:pPr>
      <w:r>
        <w:rPr>
          <w:rFonts w:hint="eastAsia" w:hAnsiTheme="minorHAnsi"/>
          <w:b w:val="0"/>
          <w:bCs w:val="0"/>
          <w:sz w:val="24"/>
          <w:szCs w:val="24"/>
        </w:rPr>
        <w:t>公开时间：2021年</w:t>
      </w:r>
      <w:r>
        <w:rPr>
          <w:rFonts w:hint="eastAsia" w:eastAsia="宋体" w:hAnsiTheme="minorHAnsi"/>
          <w:b w:val="0"/>
          <w:bCs w:val="0"/>
          <w:sz w:val="24"/>
          <w:szCs w:val="24"/>
          <w:lang w:val="en-US" w:eastAsia="zh-CN"/>
        </w:rPr>
        <w:t>9</w:t>
      </w:r>
      <w:r>
        <w:rPr>
          <w:rFonts w:hint="eastAsia" w:hAnsiTheme="minorHAnsi"/>
          <w:b w:val="0"/>
          <w:bCs w:val="0"/>
          <w:sz w:val="24"/>
          <w:szCs w:val="24"/>
        </w:rPr>
        <w:t>月</w:t>
      </w:r>
      <w:r>
        <w:rPr>
          <w:rFonts w:hint="eastAsia" w:eastAsia="宋体" w:hAnsiTheme="minorHAnsi"/>
          <w:b w:val="0"/>
          <w:bCs w:val="0"/>
          <w:sz w:val="24"/>
          <w:szCs w:val="24"/>
          <w:lang w:val="en-US" w:eastAsia="zh-CN"/>
        </w:rPr>
        <w:t>7</w:t>
      </w:r>
      <w:r>
        <w:rPr>
          <w:rFonts w:hint="eastAsia" w:hAnsiTheme="minorHAnsi"/>
          <w:b w:val="0"/>
          <w:bCs w:val="0"/>
          <w:sz w:val="24"/>
          <w:szCs w:val="24"/>
        </w:rPr>
        <w:t>日</w:t>
      </w:r>
    </w:p>
    <w:p>
      <w:pPr>
        <w:pStyle w:val="11"/>
        <w:tabs>
          <w:tab w:val="right" w:leader="dot" w:pos="8306"/>
        </w:tabs>
      </w:pPr>
      <w:r>
        <w:rPr>
          <w:b w:val="0"/>
          <w:bCs w:val="0"/>
          <w:caps w:val="0"/>
        </w:rPr>
        <w:fldChar w:fldCharType="begin"/>
      </w:r>
      <w:r>
        <w:rPr>
          <w:b w:val="0"/>
          <w:bCs w:val="0"/>
          <w:caps w:val="0"/>
        </w:rPr>
        <w:instrText xml:space="preserve"> TOC \o \u </w:instrText>
      </w:r>
      <w:r>
        <w:rPr>
          <w:b w:val="0"/>
          <w:bCs w:val="0"/>
          <w:caps w:val="0"/>
        </w:rP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_Toc17780 \h </w:instrText>
      </w:r>
      <w:r>
        <w:fldChar w:fldCharType="separate"/>
      </w:r>
      <w:r>
        <w:t>4</w:t>
      </w:r>
      <w:r>
        <w:fldChar w:fldCharType="end"/>
      </w:r>
    </w:p>
    <w:p>
      <w:pPr>
        <w:pStyle w:val="12"/>
        <w:tabs>
          <w:tab w:val="right" w:leader="dot" w:pos="8306"/>
        </w:tabs>
      </w:pPr>
      <w:r>
        <w:rPr>
          <w:rFonts w:hint="eastAsia" w:ascii="黑体" w:hAnsi="黑体" w:eastAsia="黑体"/>
          <w:color w:val="000000"/>
        </w:rPr>
        <w:t>一、基</w:t>
      </w:r>
      <w:r>
        <w:rPr>
          <w:rFonts w:hint="eastAsia" w:ascii="黑体" w:hAnsi="黑体" w:eastAsia="黑体"/>
          <w:bCs w:val="0"/>
        </w:rPr>
        <w:t>本职能及主要工作</w:t>
      </w:r>
      <w:r>
        <w:tab/>
      </w:r>
      <w:r>
        <w:fldChar w:fldCharType="begin"/>
      </w:r>
      <w:r>
        <w:instrText xml:space="preserve"> PAGEREF _Toc6183 \h </w:instrText>
      </w:r>
      <w:r>
        <w:fldChar w:fldCharType="separate"/>
      </w:r>
      <w:r>
        <w:t>4</w:t>
      </w:r>
      <w:r>
        <w:fldChar w:fldCharType="end"/>
      </w:r>
    </w:p>
    <w:p>
      <w:pPr>
        <w:pStyle w:val="8"/>
        <w:tabs>
          <w:tab w:val="right" w:leader="dot" w:pos="8306"/>
        </w:tabs>
      </w:pPr>
      <w:r>
        <w:rPr>
          <w:rFonts w:hint="eastAsia" w:ascii="楷体_GB2312" w:hAnsi="楷体_GB2312" w:eastAsia="楷体_GB2312" w:cs="楷体_GB2312"/>
          <w:bCs/>
          <w:color w:val="000000"/>
          <w:szCs w:val="32"/>
        </w:rPr>
        <w:t>（一）主要职能</w:t>
      </w:r>
      <w:r>
        <w:tab/>
      </w:r>
      <w:r>
        <w:fldChar w:fldCharType="begin"/>
      </w:r>
      <w:r>
        <w:instrText xml:space="preserve"> PAGEREF _Toc4057 \h </w:instrText>
      </w:r>
      <w:r>
        <w:fldChar w:fldCharType="separate"/>
      </w:r>
      <w:r>
        <w:t>4</w:t>
      </w:r>
      <w:r>
        <w:fldChar w:fldCharType="end"/>
      </w:r>
    </w:p>
    <w:p>
      <w:pPr>
        <w:pStyle w:val="8"/>
        <w:tabs>
          <w:tab w:val="right" w:leader="dot" w:pos="8306"/>
        </w:tabs>
      </w:pPr>
      <w:r>
        <w:rPr>
          <w:rFonts w:hint="eastAsia" w:ascii="楷体_GB2312" w:hAnsi="楷体_GB2312" w:eastAsia="楷体_GB2312" w:cs="楷体_GB2312"/>
          <w:bCs/>
          <w:color w:val="000000"/>
          <w:szCs w:val="32"/>
        </w:rPr>
        <w:t>（二）2020年重点工作完成情况</w:t>
      </w:r>
      <w:r>
        <w:tab/>
      </w:r>
      <w:r>
        <w:fldChar w:fldCharType="begin"/>
      </w:r>
      <w:r>
        <w:instrText xml:space="preserve"> PAGEREF _Toc14419 \h </w:instrText>
      </w:r>
      <w:r>
        <w:fldChar w:fldCharType="separate"/>
      </w:r>
      <w:r>
        <w:t>4</w:t>
      </w:r>
      <w:r>
        <w:fldChar w:fldCharType="end"/>
      </w:r>
    </w:p>
    <w:p>
      <w:pPr>
        <w:pStyle w:val="12"/>
        <w:tabs>
          <w:tab w:val="right" w:leader="dot" w:pos="8306"/>
        </w:tabs>
      </w:pPr>
      <w:r>
        <w:rPr>
          <w:rFonts w:hint="eastAsia" w:ascii="黑体" w:hAnsi="黑体" w:eastAsia="黑体" w:cs="Times New Roman"/>
          <w:bCs w:val="0"/>
          <w:kern w:val="2"/>
          <w:lang w:val="en-US" w:eastAsia="zh-CN" w:bidi="ar-SA"/>
        </w:rPr>
        <w:t>二、 机构设置</w:t>
      </w:r>
      <w:r>
        <w:tab/>
      </w:r>
      <w:r>
        <w:fldChar w:fldCharType="begin"/>
      </w:r>
      <w:r>
        <w:instrText xml:space="preserve"> PAGEREF _Toc13159 \h </w:instrText>
      </w:r>
      <w:r>
        <w:fldChar w:fldCharType="separate"/>
      </w:r>
      <w:r>
        <w:t>4</w:t>
      </w:r>
      <w:r>
        <w:fldChar w:fldCharType="end"/>
      </w:r>
    </w:p>
    <w:p>
      <w:pPr>
        <w:pStyle w:val="11"/>
        <w:tabs>
          <w:tab w:val="right" w:leader="dot" w:pos="8306"/>
        </w:tabs>
      </w:pPr>
      <w:r>
        <w:rPr>
          <w:rFonts w:hint="eastAsia" w:ascii="黑体" w:hAnsi="黑体" w:eastAsia="黑体"/>
          <w:color w:val="000000"/>
        </w:rPr>
        <w:t>第二部分</w:t>
      </w:r>
      <w:r>
        <w:rPr>
          <w:rFonts w:ascii="黑体" w:hAnsi="黑体" w:eastAsia="黑体"/>
          <w:color w:val="000000"/>
        </w:rPr>
        <w:t xml:space="preserve"> </w:t>
      </w:r>
      <w:r>
        <w:rPr>
          <w:rFonts w:ascii="黑体" w:hAnsi="黑体" w:eastAsia="黑体"/>
          <w:bCs w:val="0"/>
        </w:rPr>
        <w:t>2020</w:t>
      </w:r>
      <w:r>
        <w:rPr>
          <w:rFonts w:hint="eastAsia" w:ascii="黑体" w:hAnsi="黑体" w:eastAsia="黑体"/>
          <w:bCs w:val="0"/>
        </w:rPr>
        <w:t>年度部门决算情况说明</w:t>
      </w:r>
      <w:r>
        <w:tab/>
      </w:r>
      <w:r>
        <w:fldChar w:fldCharType="begin"/>
      </w:r>
      <w:r>
        <w:instrText xml:space="preserve"> PAGEREF _Toc15122 \h </w:instrText>
      </w:r>
      <w:r>
        <w:fldChar w:fldCharType="separate"/>
      </w:r>
      <w:r>
        <w:t>5</w:t>
      </w:r>
      <w:r>
        <w:fldChar w:fldCharType="end"/>
      </w:r>
    </w:p>
    <w:p>
      <w:pPr>
        <w:pStyle w:val="12"/>
        <w:tabs>
          <w:tab w:val="right" w:leader="dot" w:pos="8306"/>
        </w:tabs>
      </w:pPr>
      <w:r>
        <w:rPr>
          <w:rFonts w:hint="default" w:ascii="黑体" w:hAnsi="黑体" w:eastAsia="黑体" w:cs="Times New Roman"/>
        </w:rPr>
        <w:t xml:space="preserve">一、 </w:t>
      </w:r>
      <w:r>
        <w:rPr>
          <w:rFonts w:hint="eastAsia" w:ascii="黑体" w:hAnsi="黑体" w:eastAsia="黑体"/>
          <w:color w:val="000000"/>
          <w:szCs w:val="32"/>
        </w:rPr>
        <w:t>收</w:t>
      </w:r>
      <w:r>
        <w:rPr>
          <w:rFonts w:hint="eastAsia" w:ascii="黑体" w:hAnsi="黑体" w:eastAsia="黑体"/>
        </w:rPr>
        <w:t>入支出决算总体情况说明</w:t>
      </w:r>
      <w:r>
        <w:tab/>
      </w:r>
      <w:r>
        <w:fldChar w:fldCharType="begin"/>
      </w:r>
      <w:r>
        <w:instrText xml:space="preserve"> PAGEREF _Toc30220 \h </w:instrText>
      </w:r>
      <w:r>
        <w:fldChar w:fldCharType="separate"/>
      </w:r>
      <w:r>
        <w:t>5</w:t>
      </w:r>
      <w:r>
        <w:fldChar w:fldCharType="end"/>
      </w:r>
    </w:p>
    <w:p>
      <w:pPr>
        <w:pStyle w:val="12"/>
        <w:tabs>
          <w:tab w:val="right" w:leader="dot" w:pos="8306"/>
        </w:tabs>
      </w:pPr>
      <w:r>
        <w:rPr>
          <w:rFonts w:hint="default" w:ascii="黑体" w:hAnsi="黑体" w:eastAsia="黑体" w:cs="Times New Roman"/>
        </w:rPr>
        <w:t xml:space="preserve">二、 </w:t>
      </w:r>
      <w:r>
        <w:rPr>
          <w:rFonts w:hint="eastAsia" w:ascii="黑体" w:hAnsi="黑体" w:eastAsia="黑体"/>
          <w:color w:val="000000"/>
          <w:szCs w:val="32"/>
        </w:rPr>
        <w:t>收</w:t>
      </w:r>
      <w:r>
        <w:rPr>
          <w:rFonts w:hint="eastAsia" w:ascii="黑体" w:hAnsi="黑体" w:eastAsia="黑体"/>
        </w:rPr>
        <w:t>入决算情况说明</w:t>
      </w:r>
      <w:r>
        <w:tab/>
      </w:r>
      <w:r>
        <w:fldChar w:fldCharType="begin"/>
      </w:r>
      <w:r>
        <w:instrText xml:space="preserve"> PAGEREF _Toc22815 \h </w:instrText>
      </w:r>
      <w:r>
        <w:fldChar w:fldCharType="separate"/>
      </w:r>
      <w:r>
        <w:t>5</w:t>
      </w:r>
      <w:r>
        <w:fldChar w:fldCharType="end"/>
      </w:r>
    </w:p>
    <w:p>
      <w:pPr>
        <w:pStyle w:val="12"/>
        <w:tabs>
          <w:tab w:val="right" w:leader="dot" w:pos="8306"/>
        </w:tabs>
      </w:pPr>
      <w:r>
        <w:rPr>
          <w:rFonts w:hint="default" w:ascii="黑体" w:hAnsi="黑体" w:eastAsia="黑体" w:cs="Times New Roman"/>
        </w:rPr>
        <w:t xml:space="preserve">三、 </w:t>
      </w:r>
      <w:r>
        <w:rPr>
          <w:rFonts w:hint="eastAsia" w:ascii="黑体" w:hAnsi="黑体" w:eastAsia="黑体"/>
          <w:color w:val="000000"/>
          <w:szCs w:val="32"/>
        </w:rPr>
        <w:t>支</w:t>
      </w:r>
      <w:r>
        <w:rPr>
          <w:rFonts w:hint="eastAsia" w:ascii="黑体" w:hAnsi="黑体" w:eastAsia="黑体"/>
        </w:rPr>
        <w:t>出决算情况说明</w:t>
      </w:r>
      <w:r>
        <w:tab/>
      </w:r>
      <w:r>
        <w:fldChar w:fldCharType="begin"/>
      </w:r>
      <w:r>
        <w:instrText xml:space="preserve"> PAGEREF _Toc5646 \h </w:instrText>
      </w:r>
      <w:r>
        <w:fldChar w:fldCharType="separate"/>
      </w:r>
      <w:r>
        <w:t>6</w:t>
      </w:r>
      <w:r>
        <w:fldChar w:fldCharType="end"/>
      </w:r>
    </w:p>
    <w:p>
      <w:pPr>
        <w:pStyle w:val="12"/>
        <w:tabs>
          <w:tab w:val="right" w:leader="dot" w:pos="8306"/>
        </w:tabs>
      </w:pPr>
      <w:r>
        <w:rPr>
          <w:rFonts w:hint="eastAsia" w:ascii="黑体" w:hAnsi="黑体" w:eastAsia="黑体"/>
          <w:color w:val="000000"/>
          <w:szCs w:val="32"/>
        </w:rPr>
        <w:t>四、财</w:t>
      </w:r>
      <w:r>
        <w:rPr>
          <w:rFonts w:hint="eastAsia" w:ascii="黑体" w:hAnsi="黑体" w:eastAsia="黑体"/>
        </w:rPr>
        <w:t>政拨款收入支出决算总体情况说明</w:t>
      </w:r>
      <w:r>
        <w:tab/>
      </w:r>
      <w:r>
        <w:fldChar w:fldCharType="begin"/>
      </w:r>
      <w:r>
        <w:instrText xml:space="preserve"> PAGEREF _Toc1594 \h </w:instrText>
      </w:r>
      <w:r>
        <w:fldChar w:fldCharType="separate"/>
      </w:r>
      <w:r>
        <w:t>6</w:t>
      </w:r>
      <w:r>
        <w:fldChar w:fldCharType="end"/>
      </w:r>
    </w:p>
    <w:p>
      <w:pPr>
        <w:pStyle w:val="12"/>
        <w:tabs>
          <w:tab w:val="right" w:leader="dot" w:pos="8306"/>
        </w:tabs>
      </w:pPr>
      <w:r>
        <w:rPr>
          <w:rFonts w:hint="eastAsia" w:ascii="黑体" w:hAnsi="黑体" w:eastAsia="黑体"/>
          <w:color w:val="000000"/>
          <w:szCs w:val="32"/>
        </w:rPr>
        <w:t>五、一</w:t>
      </w:r>
      <w:r>
        <w:rPr>
          <w:rFonts w:hint="eastAsia" w:ascii="黑体" w:hAnsi="黑体" w:eastAsia="黑体"/>
        </w:rPr>
        <w:t>般公共预算财政拨款支出决算情况说明</w:t>
      </w:r>
      <w:r>
        <w:tab/>
      </w:r>
      <w:r>
        <w:fldChar w:fldCharType="begin"/>
      </w:r>
      <w:r>
        <w:instrText xml:space="preserve"> PAGEREF _Toc29820 \h </w:instrText>
      </w:r>
      <w:r>
        <w:fldChar w:fldCharType="separate"/>
      </w:r>
      <w:r>
        <w:t>7</w:t>
      </w:r>
      <w:r>
        <w:fldChar w:fldCharType="end"/>
      </w:r>
    </w:p>
    <w:p>
      <w:pPr>
        <w:pStyle w:val="8"/>
        <w:tabs>
          <w:tab w:val="right" w:leader="dot" w:pos="8306"/>
        </w:tabs>
      </w:pPr>
      <w:r>
        <w:rPr>
          <w:rFonts w:hint="eastAsia" w:ascii="仿宋" w:hAnsi="仿宋" w:eastAsia="仿宋"/>
          <w:color w:val="000000"/>
          <w:szCs w:val="32"/>
        </w:rPr>
        <w:t>（一）一般公共预算财政拨款支出决算总体情况</w:t>
      </w:r>
      <w:r>
        <w:tab/>
      </w:r>
      <w:r>
        <w:fldChar w:fldCharType="begin"/>
      </w:r>
      <w:r>
        <w:instrText xml:space="preserve"> PAGEREF _Toc4697 \h </w:instrText>
      </w:r>
      <w:r>
        <w:fldChar w:fldCharType="separate"/>
      </w:r>
      <w:r>
        <w:t>7</w:t>
      </w:r>
      <w:r>
        <w:fldChar w:fldCharType="end"/>
      </w:r>
    </w:p>
    <w:p>
      <w:pPr>
        <w:pStyle w:val="8"/>
        <w:tabs>
          <w:tab w:val="right" w:leader="dot" w:pos="8306"/>
        </w:tabs>
      </w:pPr>
      <w:r>
        <w:rPr>
          <w:rFonts w:hint="eastAsia" w:ascii="仿宋" w:hAnsi="仿宋" w:eastAsia="仿宋"/>
          <w:color w:val="000000"/>
          <w:szCs w:val="32"/>
        </w:rPr>
        <w:t>（二）一般公共预算财政拨款支出决算结构情况</w:t>
      </w:r>
      <w:r>
        <w:tab/>
      </w:r>
      <w:r>
        <w:fldChar w:fldCharType="begin"/>
      </w:r>
      <w:r>
        <w:instrText xml:space="preserve"> PAGEREF _Toc20490 \h </w:instrText>
      </w:r>
      <w:r>
        <w:fldChar w:fldCharType="separate"/>
      </w:r>
      <w:r>
        <w:t>8</w:t>
      </w:r>
      <w:r>
        <w:fldChar w:fldCharType="end"/>
      </w:r>
    </w:p>
    <w:p>
      <w:pPr>
        <w:pStyle w:val="8"/>
        <w:tabs>
          <w:tab w:val="right" w:leader="dot" w:pos="8306"/>
        </w:tabs>
      </w:pPr>
      <w:r>
        <w:rPr>
          <w:rFonts w:hint="eastAsia" w:ascii="仿宋" w:hAnsi="仿宋" w:eastAsia="仿宋"/>
          <w:color w:val="000000"/>
          <w:szCs w:val="32"/>
        </w:rPr>
        <w:t>（三）一般公共预算财政拨款支出决算具体情况</w:t>
      </w:r>
      <w:r>
        <w:tab/>
      </w:r>
      <w:r>
        <w:fldChar w:fldCharType="begin"/>
      </w:r>
      <w:r>
        <w:instrText xml:space="preserve"> PAGEREF _Toc7566 \h </w:instrText>
      </w:r>
      <w:r>
        <w:fldChar w:fldCharType="separate"/>
      </w:r>
      <w:r>
        <w:t>8</w:t>
      </w:r>
      <w:r>
        <w:fldChar w:fldCharType="end"/>
      </w:r>
    </w:p>
    <w:p>
      <w:pPr>
        <w:pStyle w:val="12"/>
        <w:tabs>
          <w:tab w:val="right" w:leader="dot" w:pos="8306"/>
        </w:tabs>
      </w:pPr>
      <w:r>
        <w:rPr>
          <w:rFonts w:hint="eastAsia" w:ascii="黑体" w:eastAsia="黑体"/>
          <w:color w:val="000000"/>
          <w:szCs w:val="32"/>
        </w:rPr>
        <w:t>六、</w:t>
      </w:r>
      <w:r>
        <w:rPr>
          <w:rFonts w:hint="eastAsia" w:ascii="黑体" w:hAnsi="黑体" w:eastAsia="黑体"/>
          <w:color w:val="000000"/>
          <w:szCs w:val="32"/>
        </w:rPr>
        <w:t>一</w:t>
      </w:r>
      <w:r>
        <w:rPr>
          <w:rFonts w:hint="eastAsia" w:ascii="黑体" w:hAnsi="黑体" w:eastAsia="黑体"/>
        </w:rPr>
        <w:t>般公共预算财政拨款基本支出决算情况说明</w:t>
      </w:r>
      <w:r>
        <w:tab/>
      </w:r>
      <w:r>
        <w:fldChar w:fldCharType="begin"/>
      </w:r>
      <w:r>
        <w:instrText xml:space="preserve"> PAGEREF _Toc31725 \h </w:instrText>
      </w:r>
      <w:r>
        <w:fldChar w:fldCharType="separate"/>
      </w:r>
      <w:r>
        <w:t>9</w:t>
      </w:r>
      <w:r>
        <w:fldChar w:fldCharType="end"/>
      </w:r>
    </w:p>
    <w:p>
      <w:pPr>
        <w:pStyle w:val="12"/>
        <w:tabs>
          <w:tab w:val="right" w:leader="dot" w:pos="8306"/>
        </w:tabs>
      </w:pPr>
      <w:r>
        <w:rPr>
          <w:rFonts w:hint="eastAsia" w:ascii="黑体" w:eastAsia="黑体"/>
          <w:color w:val="000000"/>
          <w:szCs w:val="32"/>
        </w:rPr>
        <w:t>七、</w:t>
      </w:r>
      <w:r>
        <w:rPr>
          <w:rFonts w:hint="eastAsia" w:ascii="黑体" w:hAnsi="黑体" w:eastAsia="黑体"/>
        </w:rPr>
        <w:t>“三公”经费财政拨款支出决算情况说明</w:t>
      </w:r>
      <w:r>
        <w:tab/>
      </w:r>
      <w:r>
        <w:fldChar w:fldCharType="begin"/>
      </w:r>
      <w:r>
        <w:instrText xml:space="preserve"> PAGEREF _Toc15357 \h </w:instrText>
      </w:r>
      <w:r>
        <w:fldChar w:fldCharType="separate"/>
      </w:r>
      <w:r>
        <w:t>9</w:t>
      </w:r>
      <w:r>
        <w:fldChar w:fldCharType="end"/>
      </w:r>
    </w:p>
    <w:p>
      <w:pPr>
        <w:pStyle w:val="8"/>
        <w:tabs>
          <w:tab w:val="right" w:leader="dot" w:pos="8306"/>
        </w:tabs>
      </w:pPr>
      <w:r>
        <w:rPr>
          <w:rFonts w:hint="eastAsia" w:ascii="仿宋" w:hAnsi="仿宋" w:eastAsia="仿宋"/>
          <w:color w:val="000000"/>
          <w:szCs w:val="32"/>
        </w:rPr>
        <w:t>（一）“三公”经费财政拨款支出决算总体情况说明</w:t>
      </w:r>
      <w:r>
        <w:tab/>
      </w:r>
      <w:r>
        <w:fldChar w:fldCharType="begin"/>
      </w:r>
      <w:r>
        <w:instrText xml:space="preserve"> PAGEREF _Toc6771 \h </w:instrText>
      </w:r>
      <w:r>
        <w:fldChar w:fldCharType="separate"/>
      </w:r>
      <w:r>
        <w:t>9</w:t>
      </w:r>
      <w:r>
        <w:fldChar w:fldCharType="end"/>
      </w:r>
    </w:p>
    <w:p>
      <w:pPr>
        <w:pStyle w:val="8"/>
        <w:tabs>
          <w:tab w:val="right" w:leader="dot" w:pos="8306"/>
        </w:tabs>
      </w:pPr>
      <w:r>
        <w:rPr>
          <w:rFonts w:hint="eastAsia" w:ascii="仿宋" w:hAnsi="仿宋" w:eastAsia="仿宋"/>
          <w:color w:val="000000"/>
          <w:szCs w:val="32"/>
        </w:rPr>
        <w:t>（二）“三公”经费财政拨款支出决算具体情况说明</w:t>
      </w:r>
      <w:r>
        <w:tab/>
      </w:r>
      <w:r>
        <w:fldChar w:fldCharType="begin"/>
      </w:r>
      <w:r>
        <w:instrText xml:space="preserve"> PAGEREF _Toc21138 \h </w:instrText>
      </w:r>
      <w:r>
        <w:fldChar w:fldCharType="separate"/>
      </w:r>
      <w:r>
        <w:t>10</w:t>
      </w:r>
      <w:r>
        <w:fldChar w:fldCharType="end"/>
      </w:r>
    </w:p>
    <w:p>
      <w:pPr>
        <w:pStyle w:val="12"/>
        <w:tabs>
          <w:tab w:val="right" w:leader="dot" w:pos="8306"/>
        </w:tabs>
      </w:pPr>
      <w:r>
        <w:rPr>
          <w:rFonts w:hint="eastAsia" w:ascii="黑体" w:eastAsia="黑体"/>
          <w:color w:val="000000"/>
          <w:szCs w:val="32"/>
        </w:rPr>
        <w:t>八、</w:t>
      </w:r>
      <w:r>
        <w:rPr>
          <w:rFonts w:hint="eastAsia" w:ascii="黑体" w:hAnsi="黑体" w:eastAsia="黑体"/>
        </w:rPr>
        <w:t>政府性基金预算支出决算情况说明</w:t>
      </w:r>
      <w:r>
        <w:tab/>
      </w:r>
      <w:r>
        <w:fldChar w:fldCharType="begin"/>
      </w:r>
      <w:r>
        <w:instrText xml:space="preserve"> PAGEREF _Toc24929 \h </w:instrText>
      </w:r>
      <w:r>
        <w:fldChar w:fldCharType="separate"/>
      </w:r>
      <w:r>
        <w:t>10</w:t>
      </w:r>
      <w:r>
        <w:fldChar w:fldCharType="end"/>
      </w:r>
    </w:p>
    <w:p>
      <w:pPr>
        <w:pStyle w:val="12"/>
        <w:tabs>
          <w:tab w:val="right" w:leader="dot" w:pos="8306"/>
        </w:tabs>
      </w:pPr>
      <w:r>
        <w:rPr>
          <w:rFonts w:hint="eastAsia" w:ascii="黑体" w:hAnsi="黑体" w:eastAsia="黑体" w:cs="Times New Roman"/>
        </w:rPr>
        <w:t xml:space="preserve">九、 </w:t>
      </w:r>
      <w:r>
        <w:rPr>
          <w:rFonts w:hint="eastAsia" w:ascii="黑体" w:hAnsi="黑体" w:eastAsia="黑体"/>
        </w:rPr>
        <w:t>国有资本经营预算支出决算情况说明</w:t>
      </w:r>
      <w:r>
        <w:tab/>
      </w:r>
      <w:r>
        <w:fldChar w:fldCharType="begin"/>
      </w:r>
      <w:r>
        <w:instrText xml:space="preserve"> PAGEREF _Toc14938 \h </w:instrText>
      </w:r>
      <w:r>
        <w:fldChar w:fldCharType="separate"/>
      </w:r>
      <w:r>
        <w:t>10</w:t>
      </w:r>
      <w:r>
        <w:fldChar w:fldCharType="end"/>
      </w:r>
    </w:p>
    <w:p>
      <w:pPr>
        <w:pStyle w:val="12"/>
        <w:tabs>
          <w:tab w:val="right" w:leader="dot" w:pos="8306"/>
        </w:tabs>
      </w:pPr>
      <w:r>
        <w:rPr>
          <w:rFonts w:hint="eastAsia" w:ascii="黑体" w:hAnsi="黑体" w:eastAsia="黑体"/>
          <w:color w:val="000000"/>
          <w:szCs w:val="32"/>
        </w:rPr>
        <w:t>十</w:t>
      </w:r>
      <w:r>
        <w:rPr>
          <w:rFonts w:hint="eastAsia" w:ascii="黑体" w:hAnsi="黑体" w:eastAsia="黑体"/>
        </w:rPr>
        <w:t>、其他重要事项的情况说明</w:t>
      </w:r>
      <w:r>
        <w:tab/>
      </w:r>
      <w:r>
        <w:fldChar w:fldCharType="begin"/>
      </w:r>
      <w:r>
        <w:instrText xml:space="preserve"> PAGEREF _Toc24174 \h </w:instrText>
      </w:r>
      <w:r>
        <w:fldChar w:fldCharType="separate"/>
      </w:r>
      <w:r>
        <w:t>10</w:t>
      </w:r>
      <w:r>
        <w:fldChar w:fldCharType="end"/>
      </w:r>
    </w:p>
    <w:p>
      <w:pPr>
        <w:pStyle w:val="8"/>
        <w:tabs>
          <w:tab w:val="right" w:leader="dot" w:pos="8306"/>
        </w:tabs>
      </w:pPr>
      <w:r>
        <w:rPr>
          <w:rFonts w:hint="eastAsia" w:ascii="仿宋" w:hAnsi="仿宋" w:eastAsia="仿宋"/>
          <w:color w:val="000000"/>
          <w:szCs w:val="32"/>
        </w:rPr>
        <w:t>（一）机关运行经费支出情况</w:t>
      </w:r>
      <w:r>
        <w:tab/>
      </w:r>
      <w:r>
        <w:fldChar w:fldCharType="begin"/>
      </w:r>
      <w:r>
        <w:instrText xml:space="preserve"> PAGEREF _Toc26536 \h </w:instrText>
      </w:r>
      <w:r>
        <w:fldChar w:fldCharType="separate"/>
      </w:r>
      <w:r>
        <w:t>10</w:t>
      </w:r>
      <w:r>
        <w:fldChar w:fldCharType="end"/>
      </w:r>
    </w:p>
    <w:p>
      <w:pPr>
        <w:pStyle w:val="8"/>
        <w:tabs>
          <w:tab w:val="right" w:leader="dot" w:pos="8306"/>
        </w:tabs>
      </w:pPr>
      <w:r>
        <w:rPr>
          <w:rFonts w:hint="eastAsia" w:ascii="仿宋" w:hAnsi="仿宋" w:eastAsia="仿宋"/>
          <w:color w:val="000000"/>
          <w:szCs w:val="32"/>
        </w:rPr>
        <w:t>（二）政府采购支出情况</w:t>
      </w:r>
      <w:r>
        <w:tab/>
      </w:r>
      <w:r>
        <w:fldChar w:fldCharType="begin"/>
      </w:r>
      <w:r>
        <w:instrText xml:space="preserve"> PAGEREF _Toc9287 \h </w:instrText>
      </w:r>
      <w:r>
        <w:fldChar w:fldCharType="separate"/>
      </w:r>
      <w:r>
        <w:t>10</w:t>
      </w:r>
      <w:r>
        <w:fldChar w:fldCharType="end"/>
      </w:r>
    </w:p>
    <w:p>
      <w:pPr>
        <w:pStyle w:val="8"/>
        <w:tabs>
          <w:tab w:val="right" w:leader="dot" w:pos="8306"/>
        </w:tabs>
      </w:pPr>
      <w:r>
        <w:rPr>
          <w:rFonts w:hint="eastAsia" w:ascii="仿宋" w:hAnsi="仿宋" w:eastAsia="仿宋"/>
          <w:color w:val="000000"/>
          <w:szCs w:val="32"/>
        </w:rPr>
        <w:t>（三）国有资产占有使用情况</w:t>
      </w:r>
      <w:r>
        <w:tab/>
      </w:r>
      <w:r>
        <w:fldChar w:fldCharType="begin"/>
      </w:r>
      <w:r>
        <w:instrText xml:space="preserve"> PAGEREF _Toc31603 \h </w:instrText>
      </w:r>
      <w:r>
        <w:fldChar w:fldCharType="separate"/>
      </w:r>
      <w:r>
        <w:t>10</w:t>
      </w:r>
      <w:r>
        <w:fldChar w:fldCharType="end"/>
      </w:r>
    </w:p>
    <w:p>
      <w:pPr>
        <w:pStyle w:val="8"/>
        <w:tabs>
          <w:tab w:val="right" w:leader="dot" w:pos="8306"/>
        </w:tabs>
      </w:pPr>
      <w:r>
        <w:rPr>
          <w:rFonts w:hint="eastAsia" w:ascii="仿宋" w:hAnsi="仿宋" w:eastAsia="仿宋"/>
          <w:color w:val="000000"/>
          <w:szCs w:val="32"/>
        </w:rPr>
        <w:t>（四）预算绩效管理情况。</w:t>
      </w:r>
      <w:r>
        <w:tab/>
      </w:r>
      <w:r>
        <w:fldChar w:fldCharType="begin"/>
      </w:r>
      <w:r>
        <w:instrText xml:space="preserve"> PAGEREF _Toc19714 \h </w:instrText>
      </w:r>
      <w:r>
        <w:fldChar w:fldCharType="separate"/>
      </w:r>
      <w:r>
        <w:t>10</w:t>
      </w:r>
      <w:r>
        <w:fldChar w:fldCharType="end"/>
      </w:r>
    </w:p>
    <w:p>
      <w:pPr>
        <w:pStyle w:val="11"/>
        <w:tabs>
          <w:tab w:val="right" w:leader="dot" w:pos="8306"/>
        </w:tabs>
      </w:pPr>
      <w:r>
        <w:rPr>
          <w:rFonts w:hint="eastAsia" w:ascii="黑体" w:hAnsi="黑体" w:eastAsia="黑体" w:cs="Times New Roman"/>
        </w:rPr>
        <w:t xml:space="preserve">第三部分 </w:t>
      </w:r>
      <w:r>
        <w:rPr>
          <w:rFonts w:hint="eastAsia" w:ascii="黑体" w:hAnsi="黑体" w:eastAsia="黑体"/>
          <w:color w:val="000000"/>
          <w:szCs w:val="44"/>
        </w:rPr>
        <w:t>名</w:t>
      </w:r>
      <w:r>
        <w:rPr>
          <w:rFonts w:hint="eastAsia" w:ascii="黑体" w:hAnsi="黑体" w:eastAsia="黑体"/>
        </w:rPr>
        <w:t>词解释</w:t>
      </w:r>
      <w:r>
        <w:tab/>
      </w:r>
      <w:r>
        <w:fldChar w:fldCharType="begin"/>
      </w:r>
      <w:r>
        <w:instrText xml:space="preserve"> PAGEREF _Toc6287 \h </w:instrText>
      </w:r>
      <w:r>
        <w:fldChar w:fldCharType="separate"/>
      </w:r>
      <w:r>
        <w:t>11</w:t>
      </w:r>
      <w:r>
        <w:fldChar w:fldCharType="end"/>
      </w:r>
    </w:p>
    <w:p>
      <w:pPr>
        <w:pStyle w:val="11"/>
        <w:tabs>
          <w:tab w:val="right" w:leader="dot" w:pos="8306"/>
        </w:tabs>
      </w:pPr>
      <w:r>
        <w:rPr>
          <w:rFonts w:hint="eastAsia" w:ascii="黑体" w:hAnsi="黑体" w:eastAsia="黑体"/>
          <w:color w:val="000000"/>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_Toc25840 \h </w:instrText>
      </w:r>
      <w:r>
        <w:fldChar w:fldCharType="separate"/>
      </w:r>
      <w:r>
        <w:t>14</w:t>
      </w:r>
      <w:r>
        <w:fldChar w:fldCharType="end"/>
      </w:r>
    </w:p>
    <w:p>
      <w:pPr>
        <w:pStyle w:val="11"/>
        <w:tabs>
          <w:tab w:val="right" w:leader="dot" w:pos="8306"/>
        </w:tabs>
      </w:pPr>
      <w:r>
        <w:rPr>
          <w:rFonts w:hint="eastAsia" w:ascii="黑体" w:hAnsi="黑体" w:eastAsia="黑体" w:cs="黑体"/>
          <w:szCs w:val="32"/>
        </w:rPr>
        <w:t>附件</w:t>
      </w:r>
      <w:r>
        <w:rPr>
          <w:rFonts w:ascii="黑体" w:hAnsi="黑体" w:eastAsia="黑体" w:cs="黑体"/>
          <w:szCs w:val="32"/>
        </w:rPr>
        <w:t>1</w:t>
      </w:r>
      <w:r>
        <w:tab/>
      </w:r>
      <w:r>
        <w:fldChar w:fldCharType="begin"/>
      </w:r>
      <w:r>
        <w:instrText xml:space="preserve"> PAGEREF _Toc25510 \h </w:instrText>
      </w:r>
      <w:r>
        <w:fldChar w:fldCharType="separate"/>
      </w:r>
      <w:r>
        <w:t>14</w:t>
      </w:r>
      <w:r>
        <w:fldChar w:fldCharType="end"/>
      </w:r>
    </w:p>
    <w:p>
      <w:pPr>
        <w:pStyle w:val="11"/>
        <w:tabs>
          <w:tab w:val="right" w:leader="dot" w:pos="8306"/>
        </w:tabs>
      </w:pPr>
      <w:r>
        <w:rPr>
          <w:rFonts w:hint="eastAsia" w:ascii="方正小标宋简体" w:hAnsi="黑体" w:eastAsia="方正小标宋简体" w:cs="黑体"/>
          <w:szCs w:val="44"/>
          <w:lang w:eastAsia="zh-CN"/>
        </w:rPr>
        <w:t>汶川县概算审查中心</w:t>
      </w:r>
      <w:r>
        <w:rPr>
          <w:rFonts w:hint="eastAsia" w:ascii="方正小标宋简体" w:hAnsi="黑体" w:eastAsia="方正小标宋简体" w:cs="黑体"/>
          <w:szCs w:val="44"/>
        </w:rPr>
        <w:t>部门</w:t>
      </w:r>
      <w:r>
        <w:rPr>
          <w:rFonts w:ascii="方正小标宋简体" w:hAnsi="黑体" w:eastAsia="方正小标宋简体" w:cs="黑体"/>
          <w:szCs w:val="44"/>
        </w:rPr>
        <w:t>2020</w:t>
      </w:r>
      <w:r>
        <w:rPr>
          <w:rFonts w:hint="eastAsia" w:ascii="方正小标宋简体" w:hAnsi="黑体" w:eastAsia="方正小标宋简体" w:cs="黑体"/>
          <w:szCs w:val="44"/>
        </w:rPr>
        <w:t>年部门整体支出绩效评价报告</w:t>
      </w:r>
      <w:r>
        <w:tab/>
      </w:r>
      <w:r>
        <w:fldChar w:fldCharType="begin"/>
      </w:r>
      <w:r>
        <w:instrText xml:space="preserve"> PAGEREF _Toc10535 \h </w:instrText>
      </w:r>
      <w:r>
        <w:fldChar w:fldCharType="separate"/>
      </w:r>
      <w:r>
        <w:t>14</w:t>
      </w:r>
      <w:r>
        <w:fldChar w:fldCharType="end"/>
      </w:r>
    </w:p>
    <w:p>
      <w:pPr>
        <w:pStyle w:val="11"/>
        <w:tabs>
          <w:tab w:val="right" w:leader="dot" w:pos="8306"/>
        </w:tabs>
      </w:pPr>
      <w:r>
        <w:rPr>
          <w:rFonts w:hint="eastAsia" w:ascii="黑体" w:hAnsi="黑体" w:eastAsia="黑体" w:cs="黑体"/>
          <w:szCs w:val="32"/>
        </w:rPr>
        <w:t>附件</w:t>
      </w:r>
      <w:r>
        <w:rPr>
          <w:rFonts w:ascii="黑体" w:hAnsi="黑体" w:eastAsia="黑体" w:cs="黑体"/>
          <w:szCs w:val="32"/>
        </w:rPr>
        <w:t>2</w:t>
      </w:r>
      <w:r>
        <w:tab/>
      </w:r>
      <w:r>
        <w:fldChar w:fldCharType="begin"/>
      </w:r>
      <w:r>
        <w:instrText xml:space="preserve"> PAGEREF _Toc3113 \h </w:instrText>
      </w:r>
      <w:r>
        <w:fldChar w:fldCharType="separate"/>
      </w:r>
      <w:r>
        <w:t>16</w:t>
      </w:r>
      <w:r>
        <w:fldChar w:fldCharType="end"/>
      </w:r>
    </w:p>
    <w:p>
      <w:pPr>
        <w:pStyle w:val="11"/>
        <w:tabs>
          <w:tab w:val="right" w:leader="dot" w:pos="8306"/>
        </w:tabs>
      </w:pPr>
      <w:r>
        <w:rPr>
          <w:rFonts w:hint="eastAsia" w:ascii="方正小标宋简体" w:hAnsi="黑体" w:eastAsia="方正小标宋简体" w:cs="黑体"/>
          <w:szCs w:val="44"/>
          <w:lang w:eastAsia="zh-CN"/>
        </w:rPr>
        <w:t>汶川县概算审查中心</w:t>
      </w:r>
      <w:r>
        <w:rPr>
          <w:rFonts w:hint="eastAsia" w:ascii="方正小标宋简体" w:hAnsi="黑体" w:eastAsia="方正小标宋简体" w:cs="黑体"/>
          <w:szCs w:val="44"/>
        </w:rPr>
        <w:t>项目2020年绩效评价报告</w:t>
      </w:r>
      <w:r>
        <w:tab/>
      </w:r>
      <w:r>
        <w:fldChar w:fldCharType="begin"/>
      </w:r>
      <w:r>
        <w:instrText xml:space="preserve"> PAGEREF _Toc8002 \h </w:instrText>
      </w:r>
      <w:r>
        <w:fldChar w:fldCharType="separate"/>
      </w:r>
      <w:r>
        <w:t>16</w:t>
      </w:r>
      <w:r>
        <w:fldChar w:fldCharType="end"/>
      </w:r>
    </w:p>
    <w:p>
      <w:pPr>
        <w:pStyle w:val="11"/>
        <w:tabs>
          <w:tab w:val="right" w:leader="dot" w:pos="8306"/>
        </w:tabs>
      </w:pPr>
      <w:r>
        <w:rPr>
          <w:rFonts w:hint="eastAsia" w:ascii="黑体" w:hAnsi="黑体" w:eastAsia="黑体"/>
          <w:color w:val="000000"/>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_Toc28043 \h </w:instrText>
      </w:r>
      <w:r>
        <w:fldChar w:fldCharType="separate"/>
      </w:r>
      <w:r>
        <w:t>20</w:t>
      </w:r>
      <w:r>
        <w:fldChar w:fldCharType="end"/>
      </w:r>
    </w:p>
    <w:p>
      <w:pPr>
        <w:pStyle w:val="12"/>
        <w:tabs>
          <w:tab w:val="right" w:leader="dot" w:pos="8306"/>
        </w:tabs>
      </w:pPr>
      <w:r>
        <w:rPr>
          <w:rFonts w:hint="eastAsia" w:ascii="仿宋" w:hAnsi="仿宋" w:eastAsia="仿宋"/>
          <w:color w:val="000000"/>
        </w:rPr>
        <w:t>一、收</w:t>
      </w:r>
      <w:r>
        <w:rPr>
          <w:rFonts w:hint="eastAsia" w:ascii="仿宋" w:hAnsi="仿宋" w:eastAsia="仿宋"/>
          <w:bCs w:val="0"/>
        </w:rPr>
        <w:t>入支出决算总表</w:t>
      </w:r>
      <w:r>
        <w:tab/>
      </w:r>
      <w:r>
        <w:fldChar w:fldCharType="begin"/>
      </w:r>
      <w:r>
        <w:instrText xml:space="preserve"> PAGEREF _Toc30752 \h </w:instrText>
      </w:r>
      <w:r>
        <w:fldChar w:fldCharType="separate"/>
      </w:r>
      <w:r>
        <w:t>20</w:t>
      </w:r>
      <w:r>
        <w:fldChar w:fldCharType="end"/>
      </w:r>
    </w:p>
    <w:p>
      <w:pPr>
        <w:pStyle w:val="12"/>
        <w:tabs>
          <w:tab w:val="right" w:leader="dot" w:pos="8306"/>
        </w:tabs>
      </w:pPr>
      <w:r>
        <w:rPr>
          <w:rFonts w:hint="eastAsia" w:ascii="仿宋" w:hAnsi="仿宋" w:eastAsia="仿宋"/>
          <w:color w:val="000000"/>
        </w:rPr>
        <w:t>二、收</w:t>
      </w:r>
      <w:r>
        <w:rPr>
          <w:rFonts w:hint="eastAsia" w:ascii="仿宋" w:hAnsi="仿宋" w:eastAsia="仿宋"/>
          <w:bCs w:val="0"/>
        </w:rPr>
        <w:t>入决算表</w:t>
      </w:r>
      <w:r>
        <w:tab/>
      </w:r>
      <w:r>
        <w:fldChar w:fldCharType="begin"/>
      </w:r>
      <w:r>
        <w:instrText xml:space="preserve"> PAGEREF _Toc4993 \h </w:instrText>
      </w:r>
      <w:r>
        <w:fldChar w:fldCharType="separate"/>
      </w:r>
      <w:r>
        <w:t>20</w:t>
      </w:r>
      <w:r>
        <w:fldChar w:fldCharType="end"/>
      </w:r>
    </w:p>
    <w:p>
      <w:pPr>
        <w:pStyle w:val="12"/>
        <w:tabs>
          <w:tab w:val="right" w:leader="dot" w:pos="8306"/>
        </w:tabs>
      </w:pPr>
      <w:r>
        <w:rPr>
          <w:rFonts w:hint="eastAsia" w:ascii="仿宋" w:hAnsi="仿宋" w:eastAsia="仿宋"/>
          <w:bCs w:val="0"/>
        </w:rPr>
        <w:t>三、</w:t>
      </w:r>
      <w:r>
        <w:rPr>
          <w:rFonts w:hint="eastAsia" w:ascii="仿宋" w:hAnsi="仿宋" w:eastAsia="仿宋"/>
          <w:color w:val="000000"/>
        </w:rPr>
        <w:t>支</w:t>
      </w:r>
      <w:r>
        <w:rPr>
          <w:rFonts w:hint="eastAsia" w:ascii="仿宋" w:hAnsi="仿宋" w:eastAsia="仿宋"/>
          <w:bCs w:val="0"/>
        </w:rPr>
        <w:t>出决算表</w:t>
      </w:r>
      <w:r>
        <w:tab/>
      </w:r>
      <w:r>
        <w:fldChar w:fldCharType="begin"/>
      </w:r>
      <w:r>
        <w:instrText xml:space="preserve"> PAGEREF _Toc32176 \h </w:instrText>
      </w:r>
      <w:r>
        <w:fldChar w:fldCharType="separate"/>
      </w:r>
      <w:r>
        <w:t>20</w:t>
      </w:r>
      <w:r>
        <w:fldChar w:fldCharType="end"/>
      </w:r>
    </w:p>
    <w:p>
      <w:pPr>
        <w:pStyle w:val="12"/>
        <w:tabs>
          <w:tab w:val="right" w:leader="dot" w:pos="8306"/>
        </w:tabs>
      </w:pPr>
      <w:r>
        <w:rPr>
          <w:rFonts w:hint="eastAsia" w:ascii="仿宋" w:hAnsi="仿宋" w:eastAsia="仿宋"/>
          <w:bCs w:val="0"/>
        </w:rPr>
        <w:t>四、</w:t>
      </w:r>
      <w:r>
        <w:rPr>
          <w:rFonts w:hint="eastAsia" w:ascii="仿宋" w:hAnsi="仿宋" w:eastAsia="仿宋"/>
          <w:color w:val="000000"/>
        </w:rPr>
        <w:t>财</w:t>
      </w:r>
      <w:r>
        <w:rPr>
          <w:rFonts w:hint="eastAsia" w:ascii="仿宋" w:hAnsi="仿宋" w:eastAsia="仿宋"/>
          <w:bCs w:val="0"/>
        </w:rPr>
        <w:t>政拨款收入支出决算总表</w:t>
      </w:r>
      <w:r>
        <w:tab/>
      </w:r>
      <w:r>
        <w:fldChar w:fldCharType="begin"/>
      </w:r>
      <w:r>
        <w:instrText xml:space="preserve"> PAGEREF _Toc287 \h </w:instrText>
      </w:r>
      <w:r>
        <w:fldChar w:fldCharType="separate"/>
      </w:r>
      <w:r>
        <w:t>20</w:t>
      </w:r>
      <w:r>
        <w:fldChar w:fldCharType="end"/>
      </w:r>
    </w:p>
    <w:p>
      <w:pPr>
        <w:pStyle w:val="12"/>
        <w:tabs>
          <w:tab w:val="right" w:leader="dot" w:pos="8306"/>
        </w:tabs>
      </w:pPr>
      <w:r>
        <w:rPr>
          <w:rFonts w:hint="eastAsia" w:ascii="仿宋" w:hAnsi="仿宋" w:eastAsia="仿宋"/>
          <w:bCs w:val="0"/>
        </w:rPr>
        <w:t>五、</w:t>
      </w:r>
      <w:r>
        <w:rPr>
          <w:rFonts w:hint="eastAsia" w:ascii="仿宋" w:hAnsi="仿宋" w:eastAsia="仿宋"/>
          <w:color w:val="000000"/>
        </w:rPr>
        <w:t>财</w:t>
      </w:r>
      <w:r>
        <w:rPr>
          <w:rFonts w:hint="eastAsia" w:ascii="仿宋" w:hAnsi="仿宋" w:eastAsia="仿宋"/>
          <w:bCs w:val="0"/>
        </w:rPr>
        <w:t>政拨款支出决算明细表</w:t>
      </w:r>
      <w:r>
        <w:tab/>
      </w:r>
      <w:r>
        <w:fldChar w:fldCharType="begin"/>
      </w:r>
      <w:r>
        <w:instrText xml:space="preserve"> PAGEREF _Toc3083 \h </w:instrText>
      </w:r>
      <w:r>
        <w:fldChar w:fldCharType="separate"/>
      </w:r>
      <w:r>
        <w:t>20</w:t>
      </w:r>
      <w:r>
        <w:fldChar w:fldCharType="end"/>
      </w:r>
    </w:p>
    <w:p>
      <w:pPr>
        <w:pStyle w:val="12"/>
        <w:tabs>
          <w:tab w:val="right" w:leader="dot" w:pos="8306"/>
        </w:tabs>
      </w:pPr>
      <w:r>
        <w:rPr>
          <w:rFonts w:hint="eastAsia" w:ascii="仿宋" w:hAnsi="仿宋" w:eastAsia="仿宋"/>
          <w:bCs w:val="0"/>
        </w:rPr>
        <w:t>六、</w:t>
      </w:r>
      <w:r>
        <w:rPr>
          <w:rFonts w:hint="eastAsia" w:ascii="仿宋" w:hAnsi="仿宋" w:eastAsia="仿宋"/>
          <w:color w:val="000000"/>
        </w:rPr>
        <w:t>一</w:t>
      </w:r>
      <w:r>
        <w:rPr>
          <w:rFonts w:hint="eastAsia" w:ascii="仿宋" w:hAnsi="仿宋" w:eastAsia="仿宋"/>
          <w:bCs w:val="0"/>
        </w:rPr>
        <w:t>般公共预算财政拨款支出决算表</w:t>
      </w:r>
      <w:r>
        <w:tab/>
      </w:r>
      <w:r>
        <w:fldChar w:fldCharType="begin"/>
      </w:r>
      <w:r>
        <w:instrText xml:space="preserve"> PAGEREF _Toc23052 \h </w:instrText>
      </w:r>
      <w:r>
        <w:fldChar w:fldCharType="separate"/>
      </w:r>
      <w:r>
        <w:t>20</w:t>
      </w:r>
      <w:r>
        <w:fldChar w:fldCharType="end"/>
      </w:r>
    </w:p>
    <w:p>
      <w:pPr>
        <w:pStyle w:val="12"/>
        <w:tabs>
          <w:tab w:val="right" w:leader="dot" w:pos="8306"/>
        </w:tabs>
      </w:pPr>
      <w:r>
        <w:rPr>
          <w:rFonts w:hint="eastAsia" w:ascii="仿宋" w:hAnsi="仿宋" w:eastAsia="仿宋"/>
          <w:bCs w:val="0"/>
        </w:rPr>
        <w:t>七、</w:t>
      </w:r>
      <w:r>
        <w:rPr>
          <w:rFonts w:hint="eastAsia" w:ascii="仿宋" w:hAnsi="仿宋" w:eastAsia="仿宋"/>
          <w:color w:val="000000"/>
        </w:rPr>
        <w:t>一</w:t>
      </w:r>
      <w:r>
        <w:rPr>
          <w:rFonts w:hint="eastAsia" w:ascii="仿宋" w:hAnsi="仿宋" w:eastAsia="仿宋"/>
          <w:bCs w:val="0"/>
        </w:rPr>
        <w:t>般公共预算财政拨款支出决算明细表</w:t>
      </w:r>
      <w:r>
        <w:tab/>
      </w:r>
      <w:r>
        <w:fldChar w:fldCharType="begin"/>
      </w:r>
      <w:r>
        <w:instrText xml:space="preserve"> PAGEREF _Toc22634 \h </w:instrText>
      </w:r>
      <w:r>
        <w:fldChar w:fldCharType="separate"/>
      </w:r>
      <w:r>
        <w:t>20</w:t>
      </w:r>
      <w:r>
        <w:fldChar w:fldCharType="end"/>
      </w:r>
    </w:p>
    <w:p>
      <w:pPr>
        <w:pStyle w:val="12"/>
        <w:tabs>
          <w:tab w:val="right" w:leader="dot" w:pos="8306"/>
        </w:tabs>
      </w:pPr>
      <w:r>
        <w:rPr>
          <w:rFonts w:hint="eastAsia" w:ascii="仿宋" w:hAnsi="仿宋" w:eastAsia="仿宋"/>
          <w:bCs w:val="0"/>
        </w:rPr>
        <w:t>八、</w:t>
      </w:r>
      <w:r>
        <w:rPr>
          <w:rFonts w:hint="eastAsia" w:ascii="仿宋" w:hAnsi="仿宋" w:eastAsia="仿宋"/>
          <w:color w:val="000000"/>
        </w:rPr>
        <w:t>一</w:t>
      </w:r>
      <w:r>
        <w:rPr>
          <w:rFonts w:hint="eastAsia" w:ascii="仿宋" w:hAnsi="仿宋" w:eastAsia="仿宋"/>
          <w:bCs w:val="0"/>
        </w:rPr>
        <w:t>般公共预算财政拨款基本支出决算表</w:t>
      </w:r>
      <w:r>
        <w:tab/>
      </w:r>
      <w:r>
        <w:fldChar w:fldCharType="begin"/>
      </w:r>
      <w:r>
        <w:instrText xml:space="preserve"> PAGEREF _Toc17954 \h </w:instrText>
      </w:r>
      <w:r>
        <w:fldChar w:fldCharType="separate"/>
      </w:r>
      <w:r>
        <w:t>20</w:t>
      </w:r>
      <w:r>
        <w:fldChar w:fldCharType="end"/>
      </w:r>
    </w:p>
    <w:p>
      <w:pPr>
        <w:pStyle w:val="12"/>
        <w:tabs>
          <w:tab w:val="right" w:leader="dot" w:pos="8306"/>
        </w:tabs>
      </w:pPr>
      <w:r>
        <w:rPr>
          <w:rFonts w:hint="eastAsia" w:ascii="仿宋" w:hAnsi="仿宋" w:eastAsia="仿宋"/>
          <w:bCs w:val="0"/>
        </w:rPr>
        <w:t>九、</w:t>
      </w:r>
      <w:r>
        <w:rPr>
          <w:rFonts w:hint="eastAsia" w:ascii="仿宋" w:hAnsi="仿宋" w:eastAsia="仿宋"/>
          <w:color w:val="000000"/>
        </w:rPr>
        <w:t>一</w:t>
      </w:r>
      <w:r>
        <w:rPr>
          <w:rFonts w:hint="eastAsia" w:ascii="仿宋" w:hAnsi="仿宋" w:eastAsia="仿宋"/>
          <w:bCs w:val="0"/>
        </w:rPr>
        <w:t>般公共预算财政拨款项目支出决算表</w:t>
      </w:r>
      <w:r>
        <w:tab/>
      </w:r>
      <w:r>
        <w:fldChar w:fldCharType="begin"/>
      </w:r>
      <w:r>
        <w:instrText xml:space="preserve"> PAGEREF _Toc7351 \h </w:instrText>
      </w:r>
      <w:r>
        <w:fldChar w:fldCharType="separate"/>
      </w:r>
      <w:r>
        <w:t>20</w:t>
      </w:r>
      <w:r>
        <w:fldChar w:fldCharType="end"/>
      </w:r>
    </w:p>
    <w:p>
      <w:pPr>
        <w:pStyle w:val="12"/>
        <w:tabs>
          <w:tab w:val="right" w:leader="dot" w:pos="8306"/>
        </w:tabs>
      </w:pPr>
      <w:r>
        <w:rPr>
          <w:rFonts w:hint="eastAsia" w:ascii="仿宋" w:hAnsi="仿宋" w:eastAsia="仿宋"/>
          <w:bCs w:val="0"/>
        </w:rPr>
        <w:t>十、</w:t>
      </w:r>
      <w:r>
        <w:rPr>
          <w:rFonts w:hint="eastAsia" w:ascii="仿宋" w:hAnsi="仿宋" w:eastAsia="仿宋"/>
          <w:color w:val="000000"/>
        </w:rPr>
        <w:t>一</w:t>
      </w:r>
      <w:r>
        <w:rPr>
          <w:rFonts w:hint="eastAsia" w:ascii="仿宋" w:hAnsi="仿宋" w:eastAsia="仿宋"/>
          <w:bCs w:val="0"/>
        </w:rPr>
        <w:t>般公共预算财政拨款“三公”经费支出决算表</w:t>
      </w:r>
      <w:r>
        <w:tab/>
      </w:r>
      <w:r>
        <w:fldChar w:fldCharType="begin"/>
      </w:r>
      <w:r>
        <w:instrText xml:space="preserve"> PAGEREF _Toc27439 \h </w:instrText>
      </w:r>
      <w:r>
        <w:fldChar w:fldCharType="separate"/>
      </w:r>
      <w:r>
        <w:t>20</w:t>
      </w:r>
      <w:r>
        <w:fldChar w:fldCharType="end"/>
      </w:r>
    </w:p>
    <w:p>
      <w:pPr>
        <w:pStyle w:val="12"/>
        <w:tabs>
          <w:tab w:val="right" w:leader="dot" w:pos="8306"/>
        </w:tabs>
      </w:pPr>
      <w:r>
        <w:rPr>
          <w:rFonts w:hint="eastAsia" w:ascii="仿宋" w:hAnsi="仿宋" w:eastAsia="仿宋"/>
          <w:bCs w:val="0"/>
        </w:rPr>
        <w:t>十一、</w:t>
      </w:r>
      <w:r>
        <w:rPr>
          <w:rFonts w:hint="eastAsia" w:ascii="仿宋" w:hAnsi="仿宋" w:eastAsia="仿宋"/>
          <w:color w:val="000000"/>
        </w:rPr>
        <w:t>政</w:t>
      </w:r>
      <w:r>
        <w:rPr>
          <w:rFonts w:hint="eastAsia" w:ascii="仿宋" w:hAnsi="仿宋" w:eastAsia="仿宋"/>
          <w:bCs w:val="0"/>
        </w:rPr>
        <w:t>府性基金预算财政拨款收入支出决算表</w:t>
      </w:r>
      <w:r>
        <w:tab/>
      </w:r>
      <w:r>
        <w:fldChar w:fldCharType="begin"/>
      </w:r>
      <w:r>
        <w:instrText xml:space="preserve"> PAGEREF _Toc13520 \h </w:instrText>
      </w:r>
      <w:r>
        <w:fldChar w:fldCharType="separate"/>
      </w:r>
      <w:r>
        <w:t>20</w:t>
      </w:r>
      <w:r>
        <w:fldChar w:fldCharType="end"/>
      </w:r>
    </w:p>
    <w:p>
      <w:pPr>
        <w:pStyle w:val="12"/>
        <w:tabs>
          <w:tab w:val="right" w:leader="dot" w:pos="8306"/>
        </w:tabs>
      </w:pPr>
      <w:r>
        <w:rPr>
          <w:rFonts w:hint="eastAsia" w:ascii="仿宋" w:hAnsi="仿宋" w:eastAsia="仿宋"/>
          <w:bCs w:val="0"/>
        </w:rPr>
        <w:t>十二、</w:t>
      </w:r>
      <w:r>
        <w:rPr>
          <w:rFonts w:hint="eastAsia" w:ascii="仿宋" w:hAnsi="仿宋" w:eastAsia="仿宋"/>
          <w:color w:val="000000"/>
        </w:rPr>
        <w:t>政</w:t>
      </w:r>
      <w:r>
        <w:rPr>
          <w:rFonts w:hint="eastAsia" w:ascii="仿宋" w:hAnsi="仿宋" w:eastAsia="仿宋"/>
          <w:bCs w:val="0"/>
        </w:rPr>
        <w:t>府性基金预算财政拨款“三公”经费支出决算表</w:t>
      </w:r>
      <w:r>
        <w:tab/>
      </w:r>
      <w:r>
        <w:fldChar w:fldCharType="begin"/>
      </w:r>
      <w:r>
        <w:instrText xml:space="preserve"> PAGEREF _Toc30141 \h </w:instrText>
      </w:r>
      <w:r>
        <w:fldChar w:fldCharType="separate"/>
      </w:r>
      <w:r>
        <w:t>20</w:t>
      </w:r>
      <w:r>
        <w:fldChar w:fldCharType="end"/>
      </w:r>
    </w:p>
    <w:p>
      <w:pPr>
        <w:pStyle w:val="12"/>
        <w:tabs>
          <w:tab w:val="right" w:leader="dot" w:pos="8306"/>
        </w:tabs>
      </w:pPr>
      <w:r>
        <w:rPr>
          <w:rFonts w:hint="eastAsia" w:ascii="仿宋" w:hAnsi="仿宋" w:eastAsia="仿宋"/>
          <w:bCs w:val="0"/>
        </w:rPr>
        <w:t>十三、</w:t>
      </w:r>
      <w:r>
        <w:rPr>
          <w:rFonts w:hint="eastAsia" w:ascii="仿宋" w:hAnsi="仿宋" w:eastAsia="仿宋"/>
          <w:color w:val="000000"/>
        </w:rPr>
        <w:t>国</w:t>
      </w:r>
      <w:r>
        <w:rPr>
          <w:rFonts w:hint="eastAsia" w:ascii="仿宋" w:hAnsi="仿宋" w:eastAsia="仿宋"/>
          <w:bCs w:val="0"/>
        </w:rPr>
        <w:t>有资本经营预算财政拨款支出决算表</w:t>
      </w:r>
      <w:r>
        <w:tab/>
      </w:r>
      <w:r>
        <w:fldChar w:fldCharType="begin"/>
      </w:r>
      <w:r>
        <w:instrText xml:space="preserve"> PAGEREF _Toc25269 \h </w:instrText>
      </w:r>
      <w:r>
        <w:fldChar w:fldCharType="separate"/>
      </w:r>
      <w:r>
        <w:t>20</w:t>
      </w:r>
      <w:r>
        <w:fldChar w:fldCharType="end"/>
      </w:r>
    </w:p>
    <w:p>
      <w:pPr>
        <w:pStyle w:val="12"/>
        <w:tabs>
          <w:tab w:val="right" w:leader="dot" w:pos="8306"/>
        </w:tabs>
      </w:pPr>
      <w:r>
        <w:rPr>
          <w:rFonts w:hint="eastAsia" w:ascii="仿宋" w:hAnsi="仿宋" w:eastAsia="仿宋"/>
          <w:bCs w:val="0"/>
        </w:rPr>
        <w:t>十四、国有资本经营预算财政拨款支出决算表</w:t>
      </w:r>
      <w:r>
        <w:tab/>
      </w:r>
      <w:r>
        <w:fldChar w:fldCharType="begin"/>
      </w:r>
      <w:r>
        <w:instrText xml:space="preserve"> PAGEREF _Toc12546 \h </w:instrText>
      </w:r>
      <w:r>
        <w:fldChar w:fldCharType="separate"/>
      </w:r>
      <w:r>
        <w:t>20</w:t>
      </w:r>
      <w:r>
        <w:fldChar w:fldCharType="end"/>
      </w:r>
    </w:p>
    <w:p>
      <w:r>
        <w:rPr>
          <w:rFonts w:asciiTheme="minorHAnsi" w:eastAsiaTheme="minorHAnsi"/>
          <w:bCs/>
          <w:caps/>
          <w:szCs w:val="20"/>
        </w:rPr>
        <w:fldChar w:fldCharType="end"/>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4"/>
        <w:bidi w:val="0"/>
        <w:rPr>
          <w:rStyle w:val="16"/>
          <w:rFonts w:ascii="黑体" w:hAnsi="黑体" w:eastAsia="黑体"/>
          <w:b/>
          <w:bCs w:val="0"/>
        </w:rPr>
      </w:pPr>
      <w:bookmarkStart w:id="14" w:name="_Toc17780"/>
      <w:bookmarkStart w:id="15" w:name="_Toc79163601"/>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2"/>
      <w:bookmarkEnd w:id="13"/>
      <w:bookmarkEnd w:id="14"/>
      <w:bookmarkEnd w:id="15"/>
    </w:p>
    <w:p>
      <w:pPr>
        <w:widowControl/>
        <w:jc w:val="left"/>
        <w:rPr>
          <w:rFonts w:ascii="黑体" w:eastAsia="黑体"/>
          <w:color w:val="000000"/>
          <w:sz w:val="32"/>
          <w:szCs w:val="32"/>
        </w:rPr>
      </w:pPr>
    </w:p>
    <w:p>
      <w:pPr>
        <w:pStyle w:val="5"/>
        <w:bidi w:val="0"/>
        <w:ind w:firstLine="640" w:firstLineChars="200"/>
        <w:rPr>
          <w:rStyle w:val="17"/>
          <w:rFonts w:ascii="仿宋" w:hAnsi="仿宋" w:eastAsia="仿宋"/>
          <w:b w:val="0"/>
          <w:bCs w:val="0"/>
        </w:rPr>
      </w:pPr>
      <w:bookmarkStart w:id="16" w:name="_Toc6183"/>
      <w:bookmarkStart w:id="17" w:name="_Toc15377197"/>
      <w:bookmarkStart w:id="18" w:name="_Toc15396600"/>
      <w:bookmarkStart w:id="19" w:name="_Toc79163602"/>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6"/>
      <w:bookmarkEnd w:id="17"/>
      <w:bookmarkEnd w:id="18"/>
      <w:bookmarkEnd w:id="19"/>
    </w:p>
    <w:p>
      <w:pPr>
        <w:pStyle w:val="7"/>
        <w:adjustRightInd w:val="0"/>
        <w:snapToGrid w:val="0"/>
        <w:spacing w:before="93" w:line="600" w:lineRule="exact"/>
        <w:ind w:firstLine="672" w:firstLineChars="210"/>
        <w:outlineLvl w:val="2"/>
        <w:rPr>
          <w:rFonts w:hint="eastAsia" w:ascii="楷体_GB2312" w:hAnsi="楷体_GB2312" w:eastAsia="楷体_GB2312" w:cs="楷体_GB2312"/>
          <w:bCs/>
          <w:color w:val="000000"/>
          <w:sz w:val="32"/>
          <w:szCs w:val="32"/>
        </w:rPr>
      </w:pPr>
      <w:bookmarkStart w:id="20" w:name="_Toc4057"/>
      <w:bookmarkStart w:id="21" w:name="_Toc79163603"/>
      <w:bookmarkStart w:id="22" w:name="_Toc15378445"/>
      <w:bookmarkStart w:id="23" w:name="_Toc15377198"/>
      <w:r>
        <w:rPr>
          <w:rFonts w:hint="eastAsia" w:ascii="楷体_GB2312" w:hAnsi="楷体_GB2312" w:eastAsia="楷体_GB2312" w:cs="楷体_GB2312"/>
          <w:bCs/>
          <w:color w:val="000000"/>
          <w:sz w:val="32"/>
          <w:szCs w:val="32"/>
        </w:rPr>
        <w:t>（一）主要职能</w:t>
      </w:r>
      <w:bookmarkEnd w:id="20"/>
      <w:bookmarkEnd w:id="21"/>
    </w:p>
    <w:bookmarkEnd w:id="22"/>
    <w:bookmarkEnd w:id="23"/>
    <w:p>
      <w:pPr>
        <w:widowControl/>
        <w:spacing w:line="540" w:lineRule="exact"/>
        <w:ind w:firstLine="640" w:firstLineChars="200"/>
        <w:jc w:val="left"/>
        <w:rPr>
          <w:rFonts w:hint="eastAsia" w:ascii="仿宋_GB2312" w:hAnsi="仿宋_GB2312" w:eastAsia="仿宋_GB2312" w:cs="仿宋_GB2312"/>
          <w:color w:val="auto"/>
          <w:kern w:val="0"/>
          <w:sz w:val="32"/>
          <w:szCs w:val="32"/>
          <w:highlight w:val="none"/>
        </w:rPr>
      </w:pPr>
      <w:bookmarkStart w:id="24" w:name="_Toc15378446"/>
      <w:bookmarkStart w:id="25" w:name="_Toc79163604"/>
      <w:bookmarkStart w:id="26" w:name="_Toc15377199"/>
      <w:r>
        <w:rPr>
          <w:rFonts w:hint="eastAsia" w:ascii="仿宋_GB2312" w:hAnsi="仿宋_GB2312" w:eastAsia="仿宋_GB2312" w:cs="仿宋_GB2312"/>
          <w:color w:val="auto"/>
          <w:kern w:val="0"/>
          <w:sz w:val="32"/>
          <w:szCs w:val="32"/>
          <w:highlight w:val="none"/>
        </w:rPr>
        <w:t>负责政府投资项目概算审查工作，组织对项目可行性研究报告进行审查评估；承办局领导交办的其他工作。</w:t>
      </w:r>
    </w:p>
    <w:p>
      <w:pPr>
        <w:pStyle w:val="7"/>
        <w:adjustRightInd w:val="0"/>
        <w:snapToGrid w:val="0"/>
        <w:spacing w:before="93" w:line="600" w:lineRule="exact"/>
        <w:ind w:firstLine="672" w:firstLineChars="210"/>
        <w:outlineLvl w:val="2"/>
        <w:rPr>
          <w:rFonts w:hint="eastAsia" w:ascii="楷体_GB2312" w:hAnsi="楷体_GB2312" w:eastAsia="楷体_GB2312" w:cs="楷体_GB2312"/>
          <w:bCs/>
          <w:color w:val="000000"/>
          <w:sz w:val="32"/>
          <w:szCs w:val="32"/>
        </w:rPr>
      </w:pPr>
      <w:bookmarkStart w:id="27" w:name="_Toc14419"/>
      <w:r>
        <w:rPr>
          <w:rFonts w:hint="eastAsia" w:ascii="楷体_GB2312" w:hAnsi="楷体_GB2312" w:eastAsia="楷体_GB2312" w:cs="楷体_GB2312"/>
          <w:bCs/>
          <w:color w:val="000000"/>
          <w:sz w:val="32"/>
          <w:szCs w:val="32"/>
        </w:rPr>
        <w:t>（二）2020年重点工作完成情况</w:t>
      </w:r>
      <w:bookmarkEnd w:id="24"/>
      <w:bookmarkEnd w:id="25"/>
      <w:bookmarkEnd w:id="26"/>
      <w:bookmarkEnd w:id="27"/>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一是</w:t>
      </w:r>
      <w:r>
        <w:rPr>
          <w:rFonts w:hint="eastAsia" w:ascii="仿宋_GB2312" w:hAnsi="仿宋_GB2312" w:eastAsia="仿宋_GB2312" w:cs="仿宋_GB2312"/>
          <w:color w:val="auto"/>
          <w:kern w:val="2"/>
          <w:sz w:val="32"/>
          <w:szCs w:val="32"/>
          <w:highlight w:val="none"/>
          <w:u w:val="none"/>
          <w:lang w:val="en-US" w:eastAsia="zh-CN" w:bidi="ar-SA"/>
        </w:rPr>
        <w:t>以“南林北果·绿色工业+全域旅游（康养）”为总体思路，会同县财政局、县政府投资项目服务中心及行业主管部门梳理形成《汶川县2020年灾后恢复重建暨文旅项目攻坚年项目清单+责任清单》并正式印发，从实施生态治理体系和治理能力建设、经济治理体系和治理能力建设、文化治理体系和治理能力建设、社会治理体系和治理能力建设、政治治理体系和治理能力建设共5大类336个项目，年度计划投资44.43亿元。</w:t>
      </w:r>
      <w:r>
        <w:rPr>
          <w:rFonts w:hint="eastAsia" w:ascii="仿宋_GB2312" w:hAnsi="仿宋_GB2312" w:eastAsia="仿宋_GB2312" w:cs="仿宋_GB2312"/>
          <w:b/>
          <w:bCs/>
          <w:color w:val="auto"/>
          <w:kern w:val="2"/>
          <w:sz w:val="32"/>
          <w:szCs w:val="32"/>
          <w:highlight w:val="none"/>
          <w:u w:val="none"/>
          <w:lang w:val="en-US" w:eastAsia="zh-CN" w:bidi="ar-SA"/>
        </w:rPr>
        <w:t>二是</w:t>
      </w:r>
      <w:r>
        <w:rPr>
          <w:rFonts w:hint="eastAsia" w:ascii="仿宋_GB2312" w:hAnsi="仿宋_GB2312" w:eastAsia="仿宋_GB2312" w:cs="仿宋_GB2312"/>
          <w:color w:val="auto"/>
          <w:kern w:val="2"/>
          <w:sz w:val="32"/>
          <w:szCs w:val="32"/>
          <w:highlight w:val="none"/>
          <w:u w:val="none"/>
          <w:lang w:val="en-US" w:eastAsia="zh-CN" w:bidi="ar-SA"/>
        </w:rPr>
        <w:t>梳理汶川县2020年重点项目共22个（含10个省、州重点项目），新开工项目15个，续建项目7个，截至目前，完成投资23.65亿元。</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left="-13" w:leftChars="0" w:firstLine="643" w:firstLineChars="0"/>
        <w:textAlignment w:val="auto"/>
        <w:rPr>
          <w:rStyle w:val="17"/>
          <w:rFonts w:hint="eastAsia" w:ascii="黑体" w:hAnsi="黑体" w:eastAsia="黑体" w:cs="Times New Roman"/>
          <w:b w:val="0"/>
          <w:bCs w:val="0"/>
          <w:kern w:val="2"/>
          <w:lang w:val="en-US" w:eastAsia="zh-CN" w:bidi="ar-SA"/>
        </w:rPr>
      </w:pPr>
      <w:bookmarkStart w:id="28" w:name="_Toc13159"/>
      <w:r>
        <w:rPr>
          <w:rStyle w:val="17"/>
          <w:rFonts w:hint="eastAsia" w:ascii="黑体" w:hAnsi="黑体" w:eastAsia="黑体" w:cs="Times New Roman"/>
          <w:b w:val="0"/>
          <w:bCs w:val="0"/>
          <w:kern w:val="2"/>
          <w:lang w:val="en-US" w:eastAsia="zh-CN" w:bidi="ar-SA"/>
        </w:rPr>
        <w:t>机构设置</w:t>
      </w:r>
    </w:p>
    <w:bookmarkEnd w:id="28"/>
    <w:p>
      <w:pPr>
        <w:ind w:firstLine="640" w:firstLineChars="200"/>
        <w:rPr>
          <w:rFonts w:hint="eastAsia"/>
        </w:rPr>
      </w:pPr>
      <w:r>
        <w:rPr>
          <w:rFonts w:hint="eastAsia" w:ascii="仿宋_GB2312" w:hAnsi="仿宋_GB2312" w:eastAsia="仿宋_GB2312" w:cs="仿宋_GB2312"/>
          <w:sz w:val="32"/>
          <w:szCs w:val="32"/>
        </w:rPr>
        <w:t>本单位本年度纳入本套决算编制范围的独立编制机构数共1个，比上年增加0个；独立核算机构数共1个，比上年增加0个。本单位本年度年末实有人数为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人；年末实有离退休人数为0人</w:t>
      </w:r>
      <w:r>
        <w:rPr>
          <w:rFonts w:hint="eastAsia" w:ascii="仿宋_GB2312" w:hAnsi="仿宋_GB2312" w:eastAsia="仿宋_GB2312" w:cs="仿宋_GB2312"/>
          <w:sz w:val="32"/>
          <w:szCs w:val="32"/>
          <w:lang w:eastAsia="zh-CN"/>
        </w:rPr>
        <w:t>。</w:t>
      </w:r>
    </w:p>
    <w:p>
      <w:pPr>
        <w:pStyle w:val="4"/>
        <w:ind w:right="440"/>
        <w:jc w:val="right"/>
        <w:rPr>
          <w:rStyle w:val="16"/>
          <w:rFonts w:ascii="黑体" w:hAnsi="黑体" w:eastAsia="黑体"/>
          <w:b w:val="0"/>
          <w:bCs w:val="0"/>
        </w:rPr>
      </w:pPr>
      <w:bookmarkStart w:id="29" w:name="_Toc79163609"/>
      <w:bookmarkStart w:id="30" w:name="_Toc15396602"/>
      <w:bookmarkStart w:id="31" w:name="_Toc15377204"/>
      <w:bookmarkStart w:id="32" w:name="_Toc15122"/>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2020</w:t>
      </w:r>
      <w:r>
        <w:rPr>
          <w:rStyle w:val="16"/>
          <w:rFonts w:hint="eastAsia" w:ascii="黑体" w:hAnsi="黑体" w:eastAsia="黑体"/>
          <w:b w:val="0"/>
          <w:bCs w:val="0"/>
        </w:rPr>
        <w:t>年度部门决算情况说明</w:t>
      </w:r>
      <w:bookmarkEnd w:id="29"/>
      <w:bookmarkEnd w:id="30"/>
      <w:bookmarkEnd w:id="31"/>
      <w:bookmarkEnd w:id="32"/>
    </w:p>
    <w:p/>
    <w:p>
      <w:pPr>
        <w:pStyle w:val="18"/>
        <w:numPr>
          <w:ilvl w:val="0"/>
          <w:numId w:val="2"/>
        </w:numPr>
        <w:spacing w:line="600" w:lineRule="exact"/>
        <w:ind w:firstLineChars="0"/>
        <w:outlineLvl w:val="1"/>
        <w:rPr>
          <w:rStyle w:val="17"/>
          <w:rFonts w:ascii="黑体" w:hAnsi="黑体" w:eastAsia="黑体"/>
          <w:b w:val="0"/>
        </w:rPr>
      </w:pPr>
      <w:bookmarkStart w:id="33" w:name="_Toc30220"/>
      <w:bookmarkStart w:id="34" w:name="_Toc79163610"/>
      <w:bookmarkStart w:id="35" w:name="_Toc15396603"/>
      <w:bookmarkStart w:id="36" w:name="_Toc15377205"/>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33"/>
      <w:bookmarkEnd w:id="34"/>
      <w:bookmarkEnd w:id="35"/>
      <w:bookmarkEnd w:id="36"/>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w:t>
      </w:r>
      <w:r>
        <w:rPr>
          <w:rFonts w:hint="eastAsia" w:ascii="仿宋" w:hAnsi="仿宋" w:eastAsia="仿宋"/>
          <w:color w:val="000000"/>
          <w:sz w:val="32"/>
          <w:szCs w:val="32"/>
          <w:lang w:val="en-US" w:eastAsia="zh-CN"/>
        </w:rPr>
        <w:t>收入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28.66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28.66</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3.04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9.59</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支出减少3.04万元，下降9.59%</w:t>
      </w:r>
      <w:r>
        <w:rPr>
          <w:rFonts w:hint="eastAsia" w:ascii="仿宋" w:hAnsi="仿宋" w:eastAsia="仿宋"/>
          <w:color w:val="000000"/>
          <w:sz w:val="32"/>
          <w:szCs w:val="32"/>
        </w:rPr>
        <w:t>。</w:t>
      </w:r>
    </w:p>
    <w:p>
      <w:pPr>
        <w:spacing w:line="600" w:lineRule="exact"/>
        <w:ind w:firstLine="420" w:firstLineChars="200"/>
        <w:jc w:val="center"/>
        <w:rPr>
          <w:rFonts w:ascii="仿宋_GB2312" w:eastAsia="仿宋_GB2312"/>
          <w:color w:val="000000"/>
          <w:sz w:val="21"/>
          <w:szCs w:val="21"/>
        </w:rPr>
      </w:pPr>
      <w:r>
        <w:drawing>
          <wp:anchor distT="0" distB="0" distL="114300" distR="114300" simplePos="0" relativeHeight="251663360" behindDoc="0" locked="0" layoutInCell="1" allowOverlap="1">
            <wp:simplePos x="0" y="0"/>
            <wp:positionH relativeFrom="column">
              <wp:posOffset>238760</wp:posOffset>
            </wp:positionH>
            <wp:positionV relativeFrom="paragraph">
              <wp:posOffset>84455</wp:posOffset>
            </wp:positionV>
            <wp:extent cx="5077460" cy="1581785"/>
            <wp:effectExtent l="4445" t="4445" r="23495" b="1397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21"/>
          <w:szCs w:val="21"/>
        </w:rPr>
        <w:t>（图</w:t>
      </w:r>
      <w:r>
        <w:rPr>
          <w:rFonts w:ascii="仿宋" w:hAnsi="仿宋" w:eastAsia="仿宋"/>
          <w:color w:val="000000"/>
          <w:sz w:val="21"/>
          <w:szCs w:val="21"/>
        </w:rPr>
        <w:t>1</w:t>
      </w:r>
      <w:r>
        <w:rPr>
          <w:rFonts w:hint="eastAsia" w:ascii="仿宋" w:hAnsi="仿宋" w:eastAsia="仿宋"/>
          <w:color w:val="000000"/>
          <w:sz w:val="21"/>
          <w:szCs w:val="21"/>
        </w:rPr>
        <w:t>：收、支决算总计变动情况图）</w:t>
      </w:r>
    </w:p>
    <w:p>
      <w:pPr>
        <w:pStyle w:val="18"/>
        <w:numPr>
          <w:ilvl w:val="0"/>
          <w:numId w:val="2"/>
        </w:numPr>
        <w:spacing w:line="600" w:lineRule="exact"/>
        <w:ind w:firstLineChars="0"/>
        <w:outlineLvl w:val="1"/>
        <w:rPr>
          <w:rStyle w:val="17"/>
          <w:rFonts w:ascii="黑体" w:hAnsi="黑体" w:eastAsia="黑体"/>
          <w:b w:val="0"/>
        </w:rPr>
      </w:pPr>
      <w:bookmarkStart w:id="37" w:name="_Toc15396604"/>
      <w:bookmarkStart w:id="38" w:name="_Toc79163611"/>
      <w:bookmarkStart w:id="39" w:name="_Toc15377206"/>
      <w:bookmarkStart w:id="40" w:name="_Toc22815"/>
      <w:r>
        <w:rPr>
          <w:rFonts w:hint="eastAsia" w:ascii="黑体" w:hAnsi="黑体" w:eastAsia="黑体"/>
          <w:color w:val="000000"/>
          <w:sz w:val="32"/>
          <w:szCs w:val="32"/>
        </w:rPr>
        <w:t>收</w:t>
      </w:r>
      <w:r>
        <w:rPr>
          <w:rStyle w:val="17"/>
          <w:rFonts w:hint="eastAsia" w:ascii="黑体" w:hAnsi="黑体" w:eastAsia="黑体"/>
          <w:b w:val="0"/>
        </w:rPr>
        <w:t>入决算情况说明</w:t>
      </w:r>
      <w:bookmarkEnd w:id="37"/>
      <w:bookmarkEnd w:id="38"/>
      <w:bookmarkEnd w:id="39"/>
      <w:bookmarkEnd w:id="4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28.66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28.66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jc w:val="center"/>
        <w:rPr>
          <w:rFonts w:ascii="仿宋_GB2312" w:eastAsia="仿宋_GB2312"/>
          <w:color w:val="FF0000"/>
          <w:sz w:val="32"/>
          <w:szCs w:val="32"/>
        </w:rPr>
      </w:pPr>
      <w:r>
        <w:drawing>
          <wp:anchor distT="0" distB="0" distL="114300" distR="114300" simplePos="0" relativeHeight="251659264" behindDoc="0" locked="0" layoutInCell="1" allowOverlap="1">
            <wp:simplePos x="0" y="0"/>
            <wp:positionH relativeFrom="column">
              <wp:posOffset>280670</wp:posOffset>
            </wp:positionH>
            <wp:positionV relativeFrom="paragraph">
              <wp:posOffset>138430</wp:posOffset>
            </wp:positionV>
            <wp:extent cx="4753610" cy="2343785"/>
            <wp:effectExtent l="4445" t="5080" r="23495" b="1333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21"/>
          <w:szCs w:val="21"/>
        </w:rPr>
        <w:t>（图2：收入决算结构图）</w:t>
      </w:r>
    </w:p>
    <w:p>
      <w:pPr>
        <w:pStyle w:val="18"/>
        <w:numPr>
          <w:ilvl w:val="0"/>
          <w:numId w:val="2"/>
        </w:numPr>
        <w:spacing w:line="600" w:lineRule="exact"/>
        <w:ind w:firstLineChars="0"/>
        <w:outlineLvl w:val="1"/>
        <w:rPr>
          <w:rStyle w:val="17"/>
          <w:rFonts w:ascii="黑体" w:hAnsi="黑体" w:eastAsia="黑体"/>
          <w:b w:val="0"/>
        </w:rPr>
      </w:pPr>
      <w:bookmarkStart w:id="41" w:name="_Toc15396605"/>
      <w:bookmarkStart w:id="42" w:name="_Toc5646"/>
      <w:bookmarkStart w:id="43" w:name="_Toc79163612"/>
      <w:bookmarkStart w:id="44" w:name="_Toc15377207"/>
      <w:r>
        <w:rPr>
          <w:rFonts w:hint="eastAsia" w:ascii="黑体" w:hAnsi="黑体" w:eastAsia="黑体"/>
          <w:color w:val="000000"/>
          <w:sz w:val="32"/>
          <w:szCs w:val="32"/>
        </w:rPr>
        <w:t>支</w:t>
      </w:r>
      <w:r>
        <w:rPr>
          <w:rStyle w:val="17"/>
          <w:rFonts w:hint="eastAsia" w:ascii="黑体" w:hAnsi="黑体" w:eastAsia="黑体"/>
          <w:b w:val="0"/>
        </w:rPr>
        <w:t>出决算情况说明</w:t>
      </w:r>
      <w:bookmarkEnd w:id="41"/>
      <w:bookmarkEnd w:id="42"/>
      <w:bookmarkEnd w:id="43"/>
      <w:bookmarkEnd w:id="44"/>
    </w:p>
    <w:p>
      <w:pPr>
        <w:spacing w:line="60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年本年支出合计</w:t>
      </w:r>
      <w:r>
        <w:rPr>
          <w:rFonts w:hint="eastAsia" w:ascii="仿宋_GB2312" w:eastAsia="仿宋_GB2312"/>
          <w:sz w:val="32"/>
          <w:szCs w:val="32"/>
          <w:lang w:val="en-US" w:eastAsia="zh-CN"/>
        </w:rPr>
        <w:t>28.66</w:t>
      </w:r>
      <w:r>
        <w:rPr>
          <w:rFonts w:hint="eastAsia" w:ascii="仿宋_GB2312" w:eastAsia="仿宋_GB2312"/>
          <w:sz w:val="32"/>
          <w:szCs w:val="32"/>
        </w:rPr>
        <w:t>万元，其中：基本支出</w:t>
      </w:r>
      <w:r>
        <w:rPr>
          <w:rFonts w:hint="eastAsia" w:ascii="仿宋_GB2312" w:eastAsia="仿宋_GB2312"/>
          <w:sz w:val="32"/>
          <w:szCs w:val="32"/>
          <w:lang w:val="en-US" w:eastAsia="zh-CN"/>
        </w:rPr>
        <w:t>28.66</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；项目支出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jc w:val="center"/>
        <w:rPr>
          <w:rFonts w:ascii="仿宋_GB2312" w:eastAsia="仿宋_GB2312"/>
          <w:color w:val="FF0000"/>
          <w:sz w:val="32"/>
          <w:szCs w:val="32"/>
        </w:rPr>
      </w:pPr>
      <w:r>
        <w:drawing>
          <wp:anchor distT="0" distB="0" distL="114300" distR="114300" simplePos="0" relativeHeight="251660288" behindDoc="0" locked="0" layoutInCell="1" allowOverlap="1">
            <wp:simplePos x="0" y="0"/>
            <wp:positionH relativeFrom="column">
              <wp:posOffset>556895</wp:posOffset>
            </wp:positionH>
            <wp:positionV relativeFrom="paragraph">
              <wp:posOffset>150495</wp:posOffset>
            </wp:positionV>
            <wp:extent cx="4020185" cy="2105025"/>
            <wp:effectExtent l="5080" t="4445" r="13335" b="508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sz w:val="21"/>
          <w:szCs w:val="21"/>
        </w:rPr>
        <w:t>（图3：支出决算结构图）</w:t>
      </w:r>
    </w:p>
    <w:p>
      <w:pPr>
        <w:spacing w:line="600" w:lineRule="exact"/>
        <w:ind w:firstLine="640" w:firstLineChars="200"/>
        <w:outlineLvl w:val="1"/>
        <w:rPr>
          <w:rStyle w:val="17"/>
          <w:rFonts w:ascii="黑体" w:hAnsi="黑体" w:eastAsia="黑体"/>
          <w:b w:val="0"/>
        </w:rPr>
      </w:pPr>
      <w:bookmarkStart w:id="45" w:name="_Toc15396606"/>
      <w:bookmarkStart w:id="46" w:name="_Toc1594"/>
      <w:bookmarkStart w:id="47" w:name="_Toc15377208"/>
      <w:bookmarkStart w:id="48" w:name="_Toc79163613"/>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45"/>
      <w:bookmarkEnd w:id="46"/>
      <w:bookmarkEnd w:id="47"/>
      <w:bookmarkEnd w:id="48"/>
    </w:p>
    <w:p>
      <w:pPr>
        <w:spacing w:line="600" w:lineRule="exact"/>
        <w:ind w:firstLine="640"/>
        <w:rPr>
          <w:rFonts w:ascii="仿宋" w:hAnsi="仿宋" w:eastAsia="仿宋"/>
          <w:b/>
          <w:color w:val="FF0000"/>
          <w:sz w:val="32"/>
          <w:szCs w:val="32"/>
        </w:rPr>
      </w:pPr>
      <w:r>
        <w:drawing>
          <wp:anchor distT="0" distB="0" distL="114300" distR="114300" simplePos="0" relativeHeight="251661312" behindDoc="0" locked="0" layoutInCell="1" allowOverlap="1">
            <wp:simplePos x="0" y="0"/>
            <wp:positionH relativeFrom="column">
              <wp:posOffset>239395</wp:posOffset>
            </wp:positionH>
            <wp:positionV relativeFrom="paragraph">
              <wp:posOffset>1236345</wp:posOffset>
            </wp:positionV>
            <wp:extent cx="4740910" cy="2414905"/>
            <wp:effectExtent l="4445" t="4445" r="17145" b="19050"/>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入28.66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支出28.66万元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w:t>
      </w:r>
      <w:r>
        <w:rPr>
          <w:rFonts w:hint="eastAsia" w:ascii="仿宋" w:hAnsi="仿宋" w:eastAsia="仿宋"/>
          <w:color w:val="000000"/>
          <w:sz w:val="32"/>
          <w:szCs w:val="32"/>
          <w:lang w:val="en-US" w:eastAsia="zh-CN"/>
        </w:rPr>
        <w:t>收入支出各减少3.04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9.59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2520" w:firstLineChars="1200"/>
        <w:jc w:val="both"/>
        <w:rPr>
          <w:rFonts w:ascii="仿宋" w:hAnsi="仿宋" w:eastAsia="仿宋"/>
          <w:b/>
          <w:color w:val="00B050"/>
          <w:sz w:val="32"/>
          <w:szCs w:val="32"/>
        </w:rPr>
      </w:pPr>
      <w:r>
        <w:rPr>
          <w:rFonts w:hint="eastAsia" w:ascii="仿宋" w:hAnsi="仿宋" w:eastAsia="仿宋"/>
          <w:color w:val="000000"/>
          <w:sz w:val="21"/>
          <w:szCs w:val="21"/>
        </w:rPr>
        <w:t>（图4：财政拨款收、支决算总计变动情况）</w:t>
      </w:r>
    </w:p>
    <w:p>
      <w:pPr>
        <w:spacing w:line="600" w:lineRule="exact"/>
        <w:ind w:firstLine="640" w:firstLineChars="200"/>
        <w:outlineLvl w:val="1"/>
        <w:rPr>
          <w:rStyle w:val="17"/>
          <w:rFonts w:ascii="黑体" w:hAnsi="黑体" w:eastAsia="黑体"/>
          <w:b w:val="0"/>
        </w:rPr>
      </w:pPr>
      <w:bookmarkStart w:id="49" w:name="_Toc79163614"/>
      <w:bookmarkStart w:id="50" w:name="_Toc29820"/>
      <w:bookmarkStart w:id="51" w:name="_Toc15396607"/>
      <w:bookmarkStart w:id="52"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49"/>
      <w:bookmarkEnd w:id="50"/>
      <w:bookmarkEnd w:id="51"/>
      <w:bookmarkEnd w:id="52"/>
    </w:p>
    <w:p>
      <w:pPr>
        <w:spacing w:line="600" w:lineRule="exact"/>
        <w:ind w:firstLine="643" w:firstLineChars="200"/>
        <w:outlineLvl w:val="2"/>
        <w:rPr>
          <w:rFonts w:ascii="仿宋" w:hAnsi="仿宋" w:eastAsia="仿宋"/>
          <w:b/>
          <w:color w:val="000000"/>
          <w:sz w:val="32"/>
          <w:szCs w:val="32"/>
        </w:rPr>
      </w:pPr>
      <w:bookmarkStart w:id="53" w:name="_Toc79163615"/>
      <w:bookmarkStart w:id="54" w:name="_Toc15377210"/>
      <w:bookmarkStart w:id="55" w:name="_Toc4697"/>
      <w:r>
        <w:rPr>
          <w:rFonts w:hint="eastAsia" w:ascii="仿宋" w:hAnsi="仿宋" w:eastAsia="仿宋"/>
          <w:b/>
          <w:color w:val="000000"/>
          <w:sz w:val="32"/>
          <w:szCs w:val="32"/>
        </w:rPr>
        <w:t>（一）一般公共预算财政拨款支出决算总体情况</w:t>
      </w:r>
      <w:bookmarkEnd w:id="53"/>
      <w:bookmarkEnd w:id="54"/>
      <w:bookmarkEnd w:id="55"/>
    </w:p>
    <w:p>
      <w:pPr>
        <w:spacing w:line="600" w:lineRule="exact"/>
        <w:ind w:firstLine="640"/>
        <w:rPr>
          <w:rFonts w:hint="default" w:ascii="仿宋" w:hAnsi="仿宋" w:eastAsia="仿宋"/>
          <w:color w:val="000000"/>
          <w:sz w:val="32"/>
          <w:szCs w:val="32"/>
          <w:lang w:val="en-US" w:eastAsia="zh-CN"/>
        </w:rPr>
      </w:pPr>
      <w:r>
        <w:drawing>
          <wp:anchor distT="0" distB="0" distL="114300" distR="114300" simplePos="0" relativeHeight="251664384" behindDoc="0" locked="0" layoutInCell="1" allowOverlap="1">
            <wp:simplePos x="0" y="0"/>
            <wp:positionH relativeFrom="column">
              <wp:posOffset>678180</wp:posOffset>
            </wp:positionH>
            <wp:positionV relativeFrom="paragraph">
              <wp:posOffset>1339215</wp:posOffset>
            </wp:positionV>
            <wp:extent cx="4178300" cy="2007870"/>
            <wp:effectExtent l="4445" t="4445" r="8255" b="6985"/>
            <wp:wrapSquare wrapText="bothSides"/>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28.66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val="en-US" w:eastAsia="zh-CN"/>
        </w:rPr>
        <w:t>收入支出各减少3.04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9.59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工资福利支出减少。</w:t>
      </w:r>
    </w:p>
    <w:p>
      <w:pPr>
        <w:spacing w:line="600" w:lineRule="exact"/>
        <w:ind w:firstLine="640" w:firstLineChars="200"/>
        <w:jc w:val="center"/>
        <w:rPr>
          <w:rFonts w:hint="eastAsia" w:ascii="仿宋" w:hAnsi="仿宋" w:eastAsia="仿宋"/>
          <w:color w:val="000000"/>
          <w:sz w:val="21"/>
          <w:szCs w:val="21"/>
        </w:rPr>
      </w:pPr>
      <w:r>
        <w:rPr>
          <w:rFonts w:hint="eastAsia" w:ascii="仿宋" w:hAnsi="仿宋" w:eastAsia="仿宋"/>
          <w:color w:val="000000"/>
          <w:sz w:val="32"/>
          <w:szCs w:val="32"/>
        </w:rPr>
        <w:t>（</w:t>
      </w:r>
      <w:r>
        <w:rPr>
          <w:rFonts w:hint="eastAsia" w:ascii="仿宋" w:hAnsi="仿宋" w:eastAsia="仿宋"/>
          <w:color w:val="000000"/>
          <w:sz w:val="21"/>
          <w:szCs w:val="21"/>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56" w:name="_Toc20490"/>
      <w:bookmarkStart w:id="57" w:name="_Toc79163616"/>
      <w:bookmarkStart w:id="58" w:name="_Toc15377211"/>
      <w:r>
        <w:rPr>
          <w:rFonts w:hint="eastAsia" w:ascii="仿宋" w:hAnsi="仿宋" w:eastAsia="仿宋"/>
          <w:b/>
          <w:color w:val="000000"/>
          <w:sz w:val="32"/>
          <w:szCs w:val="32"/>
        </w:rPr>
        <w:t>（二）一般公共预算财政拨款支出决算结构情况</w:t>
      </w:r>
      <w:bookmarkEnd w:id="56"/>
      <w:bookmarkEnd w:id="57"/>
      <w:bookmarkEnd w:id="58"/>
    </w:p>
    <w:p>
      <w:pPr>
        <w:spacing w:line="600" w:lineRule="exact"/>
        <w:ind w:firstLine="640"/>
        <w:rPr>
          <w:rFonts w:hint="eastAsia" w:ascii="仿宋" w:hAnsi="仿宋" w:eastAsia="仿宋"/>
          <w:color w:val="000000"/>
          <w:sz w:val="32"/>
          <w:szCs w:val="32"/>
        </w:rPr>
      </w:pPr>
      <w:r>
        <w:drawing>
          <wp:anchor distT="0" distB="0" distL="114300" distR="114300" simplePos="0" relativeHeight="251662336" behindDoc="1" locked="0" layoutInCell="1" allowOverlap="1">
            <wp:simplePos x="0" y="0"/>
            <wp:positionH relativeFrom="column">
              <wp:posOffset>584835</wp:posOffset>
            </wp:positionH>
            <wp:positionV relativeFrom="paragraph">
              <wp:posOffset>1518920</wp:posOffset>
            </wp:positionV>
            <wp:extent cx="4740275" cy="2023110"/>
            <wp:effectExtent l="4445" t="4445" r="17780" b="10795"/>
            <wp:wrapTight wrapText="bothSides">
              <wp:wrapPolygon>
                <wp:start x="-20" y="-47"/>
                <wp:lineTo x="-20" y="21512"/>
                <wp:lineTo x="21507" y="21512"/>
                <wp:lineTo x="21507" y="-47"/>
                <wp:lineTo x="-20" y="-47"/>
              </wp:wrapPolygon>
            </wp:wrapTight>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28.66</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21.84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1.33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3.27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p>
    <w:p>
      <w:pPr>
        <w:spacing w:line="600" w:lineRule="exact"/>
        <w:ind w:firstLine="420" w:firstLineChars="200"/>
        <w:jc w:val="center"/>
        <w:rPr>
          <w:rFonts w:hint="eastAsia" w:ascii="仿宋" w:hAnsi="仿宋" w:eastAsia="仿宋"/>
          <w:color w:val="000000"/>
          <w:sz w:val="21"/>
          <w:szCs w:val="21"/>
        </w:rPr>
      </w:pPr>
      <w:r>
        <w:rPr>
          <w:rFonts w:hint="eastAsia" w:ascii="仿宋" w:hAnsi="仿宋" w:eastAsia="仿宋"/>
          <w:color w:val="000000"/>
          <w:sz w:val="21"/>
          <w:szCs w:val="21"/>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59" w:name="_Toc7566"/>
      <w:bookmarkStart w:id="60" w:name="_Toc15377212"/>
      <w:bookmarkStart w:id="61" w:name="_Toc79163617"/>
      <w:r>
        <w:rPr>
          <w:rFonts w:hint="eastAsia" w:ascii="仿宋" w:hAnsi="仿宋" w:eastAsia="仿宋"/>
          <w:b/>
          <w:color w:val="000000"/>
          <w:sz w:val="32"/>
          <w:szCs w:val="32"/>
        </w:rPr>
        <w:t>（三）一般公共预算</w:t>
      </w:r>
      <w:bookmarkStart w:id="162" w:name="_GoBack"/>
      <w:r>
        <w:rPr>
          <w:rFonts w:hint="eastAsia" w:ascii="仿宋" w:hAnsi="仿宋" w:eastAsia="仿宋"/>
          <w:b/>
          <w:color w:val="000000"/>
          <w:sz w:val="32"/>
          <w:szCs w:val="32"/>
        </w:rPr>
        <w:t>财政拨款</w:t>
      </w:r>
      <w:bookmarkEnd w:id="162"/>
      <w:r>
        <w:rPr>
          <w:rFonts w:hint="eastAsia" w:ascii="仿宋" w:hAnsi="仿宋" w:eastAsia="仿宋"/>
          <w:b/>
          <w:color w:val="000000"/>
          <w:sz w:val="32"/>
          <w:szCs w:val="32"/>
        </w:rPr>
        <w:t>支出决算具体情况</w:t>
      </w:r>
      <w:bookmarkEnd w:id="59"/>
      <w:bookmarkEnd w:id="60"/>
      <w:bookmarkEnd w:id="61"/>
    </w:p>
    <w:p>
      <w:pPr>
        <w:spacing w:line="600" w:lineRule="exact"/>
        <w:ind w:firstLine="643" w:firstLineChars="200"/>
        <w:rPr>
          <w:rFonts w:ascii="仿宋_GB2312" w:eastAsia="仿宋_GB2312"/>
          <w:b/>
          <w:bCs/>
          <w:sz w:val="32"/>
          <w:szCs w:val="32"/>
        </w:rPr>
      </w:pPr>
      <w:bookmarkStart w:id="62" w:name="_Toc15377444"/>
      <w:bookmarkStart w:id="63" w:name="_Toc15377213"/>
      <w:bookmarkStart w:id="64" w:name="_Toc15378460"/>
      <w:r>
        <w:rPr>
          <w:rFonts w:ascii="仿宋_GB2312" w:eastAsia="仿宋_GB2312"/>
          <w:b/>
          <w:bCs/>
          <w:sz w:val="32"/>
          <w:szCs w:val="32"/>
        </w:rPr>
        <w:t>2020</w:t>
      </w:r>
      <w:r>
        <w:rPr>
          <w:rFonts w:hint="eastAsia" w:ascii="仿宋_GB2312" w:eastAsia="仿宋_GB2312"/>
          <w:b/>
          <w:bCs/>
          <w:sz w:val="32"/>
          <w:szCs w:val="32"/>
        </w:rPr>
        <w:t>年一般公共预算支出决算数为</w:t>
      </w:r>
      <w:r>
        <w:rPr>
          <w:rFonts w:hint="eastAsia" w:ascii="仿宋_GB2312" w:eastAsia="仿宋_GB2312"/>
          <w:b/>
          <w:bCs/>
          <w:sz w:val="32"/>
          <w:szCs w:val="32"/>
          <w:lang w:val="en-US" w:eastAsia="zh-CN"/>
        </w:rPr>
        <w:t>28.66</w:t>
      </w:r>
      <w:r>
        <w:rPr>
          <w:rFonts w:hint="eastAsia" w:ascii="仿宋_GB2312" w:eastAsia="仿宋_GB2312"/>
          <w:b/>
          <w:bCs/>
          <w:sz w:val="32"/>
          <w:szCs w:val="32"/>
        </w:rPr>
        <w:t>，完成预算</w:t>
      </w:r>
      <w:r>
        <w:rPr>
          <w:rFonts w:hint="eastAsia" w:ascii="仿宋_GB2312" w:eastAsia="仿宋_GB2312"/>
          <w:b/>
          <w:bCs/>
          <w:sz w:val="32"/>
          <w:szCs w:val="32"/>
          <w:lang w:val="en-US" w:eastAsia="zh-CN"/>
        </w:rPr>
        <w:t>100</w:t>
      </w:r>
      <w:r>
        <w:rPr>
          <w:rFonts w:ascii="仿宋_GB2312" w:eastAsia="仿宋_GB2312"/>
          <w:b/>
          <w:bCs/>
          <w:sz w:val="32"/>
          <w:szCs w:val="32"/>
        </w:rPr>
        <w:t>%</w:t>
      </w:r>
      <w:r>
        <w:rPr>
          <w:rFonts w:hint="eastAsia" w:ascii="仿宋_GB2312" w:eastAsia="仿宋_GB2312"/>
          <w:b/>
          <w:bCs/>
          <w:sz w:val="32"/>
          <w:szCs w:val="32"/>
        </w:rPr>
        <w:t>。其中：</w:t>
      </w:r>
      <w:bookmarkEnd w:id="62"/>
      <w:bookmarkEnd w:id="63"/>
      <w:bookmarkEnd w:id="64"/>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一般公共服务（类）发展与改革事务（款）</w:t>
      </w:r>
      <w:r>
        <w:rPr>
          <w:rStyle w:val="15"/>
          <w:rFonts w:hint="eastAsia" w:ascii="仿宋" w:hAnsi="仿宋" w:eastAsia="仿宋"/>
          <w:bCs/>
          <w:color w:val="000000"/>
          <w:sz w:val="32"/>
          <w:szCs w:val="32"/>
          <w:lang w:val="en-US" w:eastAsia="zh-CN"/>
        </w:rPr>
        <w:t>事业运行</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支出决算为21.84万元，完成预算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社会保障和就业支出（类）行政事业单位养老支出（款） 机关事业单位基本养老保险缴费支出（项）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1.48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社会保障和就业支出（类）政事业单位养老支出（款）（项）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卫生健康支出（类）行政事业单位医疗（款）事业单位医疗（项）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0.82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卫生健康支出（类）行政事业单位医疗（款）其他行政事业单位医疗支出（项）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0.51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6.</w:t>
      </w:r>
      <w:r>
        <w:rPr>
          <w:rFonts w:hint="eastAsia" w:ascii="仿宋" w:hAnsi="仿宋" w:eastAsia="仿宋"/>
          <w:b/>
          <w:bCs/>
          <w:color w:val="000000"/>
          <w:sz w:val="32"/>
          <w:szCs w:val="32"/>
        </w:rPr>
        <w:t>住房保障支出</w:t>
      </w:r>
      <w:r>
        <w:rPr>
          <w:rStyle w:val="15"/>
          <w:rFonts w:hint="eastAsia" w:ascii="仿宋" w:hAnsi="仿宋" w:eastAsia="仿宋"/>
          <w:bCs/>
          <w:color w:val="000000"/>
          <w:sz w:val="32"/>
          <w:szCs w:val="32"/>
        </w:rPr>
        <w:t>（类）住房改革支出（款）住房公积金（项）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3.27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17"/>
        </w:rPr>
      </w:pPr>
      <w:bookmarkStart w:id="65" w:name="_Toc15396608"/>
      <w:bookmarkStart w:id="66" w:name="_Toc79163618"/>
      <w:bookmarkStart w:id="67" w:name="_Toc15377214"/>
      <w:bookmarkStart w:id="68" w:name="_Toc31725"/>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65"/>
      <w:bookmarkEnd w:id="66"/>
      <w:bookmarkEnd w:id="67"/>
      <w:bookmarkEnd w:id="68"/>
      <w:r>
        <w:rPr>
          <w:rStyle w:val="1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28.66</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26.58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2.08</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hAnsi="黑体" w:eastAsia="黑体"/>
          <w:b w:val="0"/>
        </w:rPr>
      </w:pPr>
      <w:bookmarkStart w:id="69" w:name="_Toc79163619"/>
      <w:bookmarkStart w:id="70" w:name="_Toc15377215"/>
      <w:bookmarkStart w:id="71" w:name="_Toc15396609"/>
      <w:bookmarkStart w:id="72" w:name="_Toc15357"/>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69"/>
      <w:bookmarkEnd w:id="70"/>
      <w:bookmarkEnd w:id="71"/>
      <w:bookmarkEnd w:id="72"/>
    </w:p>
    <w:p>
      <w:pPr>
        <w:spacing w:line="600" w:lineRule="exact"/>
        <w:ind w:firstLine="640"/>
        <w:outlineLvl w:val="2"/>
        <w:rPr>
          <w:rFonts w:ascii="仿宋" w:hAnsi="仿宋" w:eastAsia="仿宋"/>
          <w:b/>
          <w:color w:val="000000"/>
          <w:sz w:val="32"/>
          <w:szCs w:val="32"/>
        </w:rPr>
      </w:pPr>
      <w:bookmarkStart w:id="73" w:name="_Toc15377216"/>
      <w:bookmarkStart w:id="74" w:name="_Toc79163620"/>
      <w:bookmarkStart w:id="75" w:name="_Toc6771"/>
      <w:r>
        <w:rPr>
          <w:rFonts w:hint="eastAsia" w:ascii="仿宋" w:hAnsi="仿宋" w:eastAsia="仿宋"/>
          <w:b/>
          <w:color w:val="000000"/>
          <w:sz w:val="32"/>
          <w:szCs w:val="32"/>
        </w:rPr>
        <w:t>（一）“三公”经费财政拨款支出决算总体情况说明</w:t>
      </w:r>
      <w:bookmarkEnd w:id="73"/>
      <w:bookmarkEnd w:id="74"/>
      <w:bookmarkEnd w:id="7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76" w:name="_Toc79163621"/>
      <w:bookmarkStart w:id="77" w:name="_Toc15377217"/>
      <w:bookmarkStart w:id="78" w:name="_Toc21138"/>
      <w:r>
        <w:rPr>
          <w:rFonts w:hint="eastAsia" w:ascii="仿宋" w:hAnsi="仿宋" w:eastAsia="仿宋"/>
          <w:b/>
          <w:color w:val="000000"/>
          <w:sz w:val="32"/>
          <w:szCs w:val="32"/>
        </w:rPr>
        <w:t>（二）“三公”经费财政拨款支出决算具体情况说明</w:t>
      </w:r>
      <w:bookmarkEnd w:id="76"/>
      <w:bookmarkEnd w:id="77"/>
      <w:bookmarkEnd w:id="7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600" w:lineRule="exact"/>
        <w:ind w:firstLine="640"/>
        <w:outlineLvl w:val="1"/>
        <w:rPr>
          <w:rStyle w:val="17"/>
          <w:rFonts w:ascii="黑体" w:hAnsi="黑体" w:eastAsia="黑体"/>
        </w:rPr>
      </w:pPr>
      <w:bookmarkStart w:id="79" w:name="_Toc15396610"/>
      <w:bookmarkStart w:id="80" w:name="_Toc79163622"/>
      <w:bookmarkStart w:id="81" w:name="_Toc15377218"/>
      <w:bookmarkStart w:id="82" w:name="_Toc24929"/>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79"/>
      <w:bookmarkEnd w:id="80"/>
      <w:bookmarkEnd w:id="81"/>
      <w:bookmarkEnd w:id="8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17"/>
          <w:rFonts w:ascii="黑体" w:hAnsi="黑体" w:eastAsia="黑体"/>
          <w:b w:val="0"/>
        </w:rPr>
      </w:pPr>
      <w:bookmarkStart w:id="83" w:name="_Toc79163623"/>
      <w:bookmarkStart w:id="84" w:name="_Toc15396611"/>
      <w:bookmarkStart w:id="85" w:name="_Toc15377219"/>
      <w:bookmarkStart w:id="86" w:name="_Toc14938"/>
      <w:r>
        <w:rPr>
          <w:rStyle w:val="17"/>
          <w:rFonts w:hint="eastAsia" w:ascii="黑体" w:hAnsi="黑体" w:eastAsia="黑体"/>
          <w:b w:val="0"/>
        </w:rPr>
        <w:t>国有资本经营预算支出决算情况说明</w:t>
      </w:r>
      <w:bookmarkEnd w:id="83"/>
      <w:bookmarkEnd w:id="84"/>
      <w:bookmarkEnd w:id="85"/>
      <w:bookmarkEnd w:id="8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17"/>
          <w:rFonts w:ascii="黑体" w:hAnsi="黑体" w:eastAsia="黑体"/>
        </w:rPr>
      </w:pPr>
      <w:bookmarkStart w:id="87" w:name="_Toc15377221"/>
      <w:bookmarkStart w:id="88" w:name="_Toc79163624"/>
      <w:bookmarkStart w:id="89" w:name="_Toc15396612"/>
      <w:bookmarkStart w:id="90" w:name="_Toc24174"/>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87"/>
      <w:bookmarkEnd w:id="88"/>
      <w:bookmarkEnd w:id="89"/>
      <w:bookmarkEnd w:id="90"/>
    </w:p>
    <w:p>
      <w:pPr>
        <w:spacing w:line="600" w:lineRule="exact"/>
        <w:ind w:firstLine="643" w:firstLineChars="200"/>
        <w:outlineLvl w:val="2"/>
        <w:rPr>
          <w:rFonts w:ascii="仿宋" w:hAnsi="仿宋" w:eastAsia="仿宋"/>
          <w:color w:val="000000"/>
          <w:sz w:val="32"/>
          <w:szCs w:val="32"/>
        </w:rPr>
      </w:pPr>
      <w:bookmarkStart w:id="91" w:name="_Toc79163625"/>
      <w:bookmarkStart w:id="92" w:name="_Toc15377222"/>
      <w:bookmarkStart w:id="93" w:name="_Toc26536"/>
      <w:r>
        <w:rPr>
          <w:rFonts w:hint="eastAsia" w:ascii="仿宋" w:hAnsi="仿宋" w:eastAsia="仿宋"/>
          <w:b/>
          <w:color w:val="000000"/>
          <w:sz w:val="32"/>
          <w:szCs w:val="32"/>
        </w:rPr>
        <w:t>（一）机关运行经费支出情况</w:t>
      </w:r>
      <w:bookmarkEnd w:id="91"/>
      <w:bookmarkEnd w:id="92"/>
      <w:bookmarkEnd w:id="9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概算审查中心</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0.28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15.56</w:t>
      </w:r>
      <w:r>
        <w:rPr>
          <w:rFonts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4" w:name="_Toc15377223"/>
      <w:bookmarkStart w:id="95" w:name="_Toc79163626"/>
      <w:bookmarkStart w:id="96" w:name="_Toc9287"/>
      <w:r>
        <w:rPr>
          <w:rFonts w:hint="eastAsia" w:ascii="仿宋" w:hAnsi="仿宋" w:eastAsia="仿宋"/>
          <w:b/>
          <w:color w:val="000000"/>
          <w:sz w:val="32"/>
          <w:szCs w:val="32"/>
        </w:rPr>
        <w:t>（二）政府采购支出情况</w:t>
      </w:r>
      <w:bookmarkEnd w:id="94"/>
      <w:bookmarkEnd w:id="95"/>
      <w:bookmarkEnd w:id="9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概算审查中心</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7" w:name="_Toc15377224"/>
      <w:bookmarkStart w:id="98" w:name="_Toc79163627"/>
      <w:bookmarkStart w:id="99" w:name="_Toc31603"/>
      <w:r>
        <w:rPr>
          <w:rFonts w:hint="eastAsia" w:ascii="仿宋" w:hAnsi="仿宋" w:eastAsia="仿宋"/>
          <w:b/>
          <w:color w:val="000000"/>
          <w:sz w:val="32"/>
          <w:szCs w:val="32"/>
        </w:rPr>
        <w:t>（三）国有资产占有使用情况</w:t>
      </w:r>
      <w:bookmarkEnd w:id="97"/>
      <w:bookmarkEnd w:id="98"/>
      <w:bookmarkEnd w:id="99"/>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概算审查中心</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0" w:name="_Toc79163628"/>
      <w:bookmarkStart w:id="101" w:name="_Toc19714"/>
      <w:r>
        <w:rPr>
          <w:rFonts w:hint="eastAsia" w:ascii="仿宋" w:hAnsi="仿宋" w:eastAsia="仿宋"/>
          <w:b/>
          <w:color w:val="000000"/>
          <w:sz w:val="32"/>
          <w:szCs w:val="32"/>
        </w:rPr>
        <w:t>（四）预算绩效管理情况。</w:t>
      </w:r>
      <w:bookmarkEnd w:id="100"/>
      <w:bookmarkEnd w:id="101"/>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无项目支出。</w:t>
      </w:r>
    </w:p>
    <w:p>
      <w:pPr>
        <w:spacing w:line="580" w:lineRule="exact"/>
        <w:ind w:firstLine="640" w:firstLineChars="200"/>
        <w:rPr>
          <w:rFonts w:ascii="仿宋_GB2312" w:hAnsi="仿宋_GB2312" w:eastAsia="仿宋_GB2312" w:cs="仿宋_GB2312"/>
          <w:sz w:val="32"/>
          <w:szCs w:val="32"/>
        </w:rPr>
      </w:pPr>
    </w:p>
    <w:p>
      <w:pPr>
        <w:pStyle w:val="7"/>
        <w:rPr>
          <w:rFonts w:ascii="仿宋_GB2312" w:hAnsi="仿宋_GB2312" w:eastAsia="仿宋_GB2312" w:cs="仿宋_GB2312"/>
          <w:sz w:val="32"/>
          <w:szCs w:val="32"/>
        </w:rPr>
      </w:pPr>
    </w:p>
    <w:p>
      <w:pPr>
        <w:pStyle w:val="6"/>
        <w:rPr>
          <w:rFonts w:ascii="仿宋_GB2312" w:hAnsi="仿宋_GB2312" w:eastAsia="仿宋_GB2312" w:cs="仿宋_GB2312"/>
          <w:sz w:val="32"/>
          <w:szCs w:val="32"/>
        </w:rPr>
      </w:pPr>
    </w:p>
    <w:p>
      <w:pPr>
        <w:pStyle w:val="7"/>
        <w:rPr>
          <w:rFonts w:ascii="仿宋_GB2312" w:hAnsi="仿宋_GB2312" w:eastAsia="仿宋_GB2312" w:cs="仿宋_GB2312"/>
          <w:sz w:val="32"/>
          <w:szCs w:val="32"/>
        </w:rPr>
      </w:pPr>
    </w:p>
    <w:p>
      <w:pPr>
        <w:pStyle w:val="7"/>
      </w:pPr>
    </w:p>
    <w:p>
      <w:pPr>
        <w:numPr>
          <w:ilvl w:val="0"/>
          <w:numId w:val="4"/>
        </w:numPr>
        <w:spacing w:line="600" w:lineRule="exact"/>
        <w:ind w:firstLine="660" w:firstLineChars="150"/>
        <w:jc w:val="center"/>
        <w:outlineLvl w:val="0"/>
        <w:rPr>
          <w:rStyle w:val="16"/>
          <w:rFonts w:ascii="黑体" w:hAnsi="黑体" w:eastAsia="黑体"/>
          <w:b w:val="0"/>
        </w:rPr>
      </w:pPr>
      <w:bookmarkStart w:id="102" w:name="_Toc15377225"/>
      <w:bookmarkStart w:id="103" w:name="_Toc79163629"/>
      <w:bookmarkStart w:id="104" w:name="_Toc15396613"/>
      <w:bookmarkStart w:id="105" w:name="_Toc6287"/>
      <w:r>
        <w:rPr>
          <w:rFonts w:hint="eastAsia" w:ascii="黑体" w:hAnsi="黑体" w:eastAsia="黑体"/>
          <w:color w:val="000000"/>
          <w:sz w:val="44"/>
          <w:szCs w:val="44"/>
        </w:rPr>
        <w:t>名</w:t>
      </w:r>
      <w:r>
        <w:rPr>
          <w:rStyle w:val="16"/>
          <w:rFonts w:hint="eastAsia" w:ascii="黑体" w:hAnsi="黑体" w:eastAsia="黑体"/>
          <w:b w:val="0"/>
        </w:rPr>
        <w:t>词解释</w:t>
      </w:r>
      <w:bookmarkEnd w:id="102"/>
      <w:bookmarkEnd w:id="103"/>
      <w:bookmarkEnd w:id="104"/>
      <w:bookmarkEnd w:id="105"/>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9"/>
        <w:spacing w:line="560" w:lineRule="exact"/>
        <w:ind w:firstLine="640" w:firstLineChars="200"/>
        <w:rPr>
          <w:rFonts w:ascii="仿宋_GB2312" w:eastAsia="仿宋_GB2312" w:cs="黑体"/>
          <w:sz w:val="32"/>
          <w:szCs w:val="32"/>
        </w:rPr>
      </w:pPr>
    </w:p>
    <w:p>
      <w:pPr>
        <w:spacing w:line="600" w:lineRule="exact"/>
        <w:jc w:val="center"/>
        <w:outlineLvl w:val="0"/>
        <w:rPr>
          <w:rFonts w:hint="eastAsia" w:ascii="黑体" w:hAnsi="黑体" w:eastAsia="黑体"/>
          <w:color w:val="000000"/>
          <w:sz w:val="44"/>
          <w:szCs w:val="44"/>
        </w:rPr>
      </w:pPr>
      <w:bookmarkStart w:id="106" w:name="_Toc15396614"/>
      <w:bookmarkStart w:id="107" w:name="_Toc79163630"/>
      <w:bookmarkStart w:id="108"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pStyle w:val="2"/>
        <w:rPr>
          <w:rFonts w:hint="eastAsia"/>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6"/>
          <w:rFonts w:ascii="黑体" w:hAnsi="黑体" w:eastAsia="黑体"/>
          <w:b w:val="0"/>
        </w:rPr>
      </w:pPr>
      <w:bookmarkStart w:id="109" w:name="_Toc25840"/>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106"/>
      <w:bookmarkEnd w:id="107"/>
      <w:bookmarkEnd w:id="109"/>
    </w:p>
    <w:p>
      <w:pPr>
        <w:spacing w:line="600" w:lineRule="exact"/>
        <w:jc w:val="left"/>
        <w:outlineLvl w:val="0"/>
        <w:rPr>
          <w:rFonts w:ascii="方正小标宋简体" w:hAnsi="方正小标宋简体" w:eastAsia="方正小标宋简体" w:cs="方正小标宋简体"/>
          <w:sz w:val="32"/>
          <w:szCs w:val="32"/>
        </w:rPr>
      </w:pPr>
      <w:bookmarkStart w:id="110" w:name="_Toc25510"/>
      <w:bookmarkStart w:id="111" w:name="_Toc79163631"/>
      <w:r>
        <w:rPr>
          <w:rFonts w:hint="eastAsia" w:ascii="黑体" w:hAnsi="黑体" w:eastAsia="黑体" w:cs="黑体"/>
          <w:sz w:val="32"/>
          <w:szCs w:val="32"/>
        </w:rPr>
        <w:t>附件</w:t>
      </w:r>
      <w:r>
        <w:rPr>
          <w:rFonts w:ascii="黑体" w:hAnsi="黑体" w:eastAsia="黑体" w:cs="黑体"/>
          <w:sz w:val="32"/>
          <w:szCs w:val="32"/>
        </w:rPr>
        <w:t>1</w:t>
      </w:r>
      <w:bookmarkEnd w:id="110"/>
      <w:bookmarkEnd w:id="111"/>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ascii="方正小标宋简体" w:hAnsi="黑体" w:eastAsia="方正小标宋简体" w:cs="黑体"/>
          <w:sz w:val="44"/>
          <w:szCs w:val="44"/>
        </w:rPr>
      </w:pPr>
      <w:bookmarkStart w:id="112" w:name="_Toc79163632"/>
      <w:bookmarkStart w:id="113" w:name="_Toc10535"/>
      <w:r>
        <w:rPr>
          <w:rFonts w:hint="eastAsia" w:ascii="方正小标宋简体" w:hAnsi="黑体" w:eastAsia="方正小标宋简体" w:cs="黑体"/>
          <w:sz w:val="44"/>
          <w:szCs w:val="44"/>
          <w:lang w:eastAsia="zh-CN"/>
        </w:rPr>
        <w:t>汶川县概算审查中心</w:t>
      </w:r>
      <w:r>
        <w:rPr>
          <w:rFonts w:hint="eastAsia" w:ascii="方正小标宋简体" w:hAnsi="黑体" w:eastAsia="方正小标宋简体" w:cs="黑体"/>
          <w:sz w:val="44"/>
          <w:szCs w:val="44"/>
        </w:rPr>
        <w:t>部门</w:t>
      </w:r>
      <w:r>
        <w:rPr>
          <w:rFonts w:ascii="方正小标宋简体" w:hAnsi="黑体" w:eastAsia="方正小标宋简体" w:cs="黑体"/>
          <w:sz w:val="44"/>
          <w:szCs w:val="44"/>
        </w:rPr>
        <w:t>2020</w:t>
      </w:r>
      <w:r>
        <w:rPr>
          <w:rFonts w:hint="eastAsia" w:ascii="方正小标宋简体" w:hAnsi="黑体" w:eastAsia="方正小标宋简体" w:cs="黑体"/>
          <w:sz w:val="44"/>
          <w:szCs w:val="44"/>
        </w:rPr>
        <w:t>年部门整体支出绩效评价报告</w:t>
      </w:r>
      <w:bookmarkEnd w:id="112"/>
      <w:bookmarkEnd w:id="113"/>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（一）机构组成</w:t>
      </w:r>
    </w:p>
    <w:p>
      <w:pPr>
        <w:ind w:firstLine="640" w:firstLineChars="200"/>
        <w:rPr>
          <w:highlight w:val="none"/>
          <w:lang w:val="zh-CN"/>
        </w:rPr>
      </w:pPr>
      <w:r>
        <w:rPr>
          <w:rFonts w:hint="eastAsia" w:ascii="仿宋_GB2312" w:hAnsi="仿宋_GB2312" w:eastAsia="仿宋_GB2312" w:cs="仿宋_GB2312"/>
          <w:sz w:val="32"/>
          <w:szCs w:val="32"/>
          <w:highlight w:val="none"/>
        </w:rPr>
        <w:t>本单位本年度纳入本套决算编制范围的独立编制机构数共1个，比上年增加0个；独立核算机构数共1个，比上年增加0个。</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机构职能。</w:t>
      </w:r>
    </w:p>
    <w:p>
      <w:pPr>
        <w:widowControl/>
        <w:spacing w:line="540" w:lineRule="exact"/>
        <w:ind w:firstLine="640" w:firstLineChars="200"/>
        <w:jc w:val="left"/>
        <w:rPr>
          <w:highlight w:val="none"/>
          <w:lang w:val="zh-CN"/>
        </w:rPr>
      </w:pPr>
      <w:r>
        <w:rPr>
          <w:rFonts w:hint="eastAsia" w:ascii="仿宋_GB2312" w:hAnsi="仿宋_GB2312" w:eastAsia="仿宋_GB2312" w:cs="仿宋_GB2312"/>
          <w:color w:val="auto"/>
          <w:kern w:val="0"/>
          <w:sz w:val="32"/>
          <w:szCs w:val="32"/>
          <w:highlight w:val="none"/>
        </w:rPr>
        <w:t>负责政府投资项目概算审查工作，组织对项目可行性研究报告进行审查评估；承办局领导交办的其他工作。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（三）人员概况。</w:t>
      </w:r>
    </w:p>
    <w:p>
      <w:pPr>
        <w:ind w:firstLine="640" w:firstLineChars="200"/>
        <w:rPr>
          <w:highlight w:val="none"/>
          <w:lang w:val="zh-CN"/>
        </w:rPr>
      </w:pPr>
      <w:r>
        <w:rPr>
          <w:rFonts w:hint="eastAsia" w:ascii="仿宋_GB2312" w:hAnsi="仿宋_GB2312" w:eastAsia="仿宋_GB2312" w:cs="仿宋_GB2312"/>
          <w:sz w:val="32"/>
          <w:szCs w:val="32"/>
          <w:highlight w:val="none"/>
        </w:rPr>
        <w:t>本单位本年度年末实有人数为</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人，比上年增加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人；年末实有离退休人数为0人</w:t>
      </w:r>
      <w:r>
        <w:rPr>
          <w:rFonts w:hint="eastAsia" w:ascii="仿宋_GB2312" w:hAnsi="仿宋_GB2312" w:eastAsia="仿宋_GB2312" w:cs="仿宋_GB2312"/>
          <w:sz w:val="32"/>
          <w:szCs w:val="32"/>
          <w:highlight w:val="none"/>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rPr>
          <w:lang w:val="zh-CN"/>
        </w:rPr>
      </w:pPr>
      <w:r>
        <w:rPr>
          <w:rFonts w:hint="eastAsia" w:ascii="仿宋" w:hAnsi="仿宋" w:eastAsia="仿宋"/>
          <w:color w:val="000000"/>
          <w:sz w:val="32"/>
          <w:szCs w:val="32"/>
          <w:lang w:val="en-US" w:eastAsia="zh-CN"/>
        </w:rPr>
        <w:t>本年度财政资金收入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28.66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3.04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9.59</w:t>
      </w:r>
      <w:r>
        <w:rPr>
          <w:rFonts w:ascii="仿宋" w:hAnsi="仿宋" w:eastAsia="仿宋"/>
          <w:color w:val="000000"/>
          <w:sz w:val="32"/>
          <w:szCs w:val="32"/>
        </w:rPr>
        <w:t>%</w:t>
      </w:r>
      <w:r>
        <w:rPr>
          <w:rFonts w:hint="eastAsia" w:ascii="仿宋" w:hAnsi="仿宋" w:eastAsia="仿宋"/>
          <w:color w:val="000000"/>
          <w:sz w:val="32"/>
          <w:szCs w:val="32"/>
          <w:lang w:eastAsia="zh-CN"/>
        </w:rPr>
        <w:t>，</w:t>
      </w:r>
    </w:p>
    <w:p>
      <w:pPr>
        <w:widowControl/>
        <w:numPr>
          <w:ilvl w:val="0"/>
          <w:numId w:val="5"/>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本年度财政资金支出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28.66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,支出减少3.04万元，下降9.59%</w:t>
      </w:r>
      <w:r>
        <w:rPr>
          <w:rFonts w:hint="eastAsia" w:ascii="仿宋" w:hAnsi="仿宋" w:eastAsia="仿宋"/>
          <w:color w:val="000000"/>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60" w:lineRule="exact"/>
        <w:ind w:firstLine="800" w:firstLineChars="250"/>
        <w:rPr>
          <w:rFonts w:ascii="仿宋_GB2312" w:hAnsi="宋体" w:eastAsia="仿宋_GB2312" w:cs="宋体"/>
          <w:color w:val="000000"/>
          <w:kern w:val="0"/>
          <w:sz w:val="32"/>
          <w:szCs w:val="32"/>
          <w:shd w:val="clear" w:color="auto" w:fill="FFFFFF"/>
          <w:lang w:val="zh-CN"/>
        </w:rPr>
      </w:pPr>
      <w:r>
        <w:rPr>
          <w:rFonts w:hint="eastAsia" w:ascii="仿宋_GB2312" w:eastAsia="仿宋_GB2312"/>
          <w:color w:val="auto"/>
          <w:sz w:val="32"/>
          <w:szCs w:val="32"/>
          <w:highlight w:val="none"/>
        </w:rPr>
        <w:t>根据全县部门编制预算口径和要求，确保局机关正常运转、完成日常工作任务以及我局承担的重点工作，编制</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年预算。基本支出，是用于保障我</w:t>
      </w:r>
      <w:r>
        <w:rPr>
          <w:rFonts w:hint="eastAsia" w:ascii="仿宋_GB2312" w:eastAsia="仿宋_GB2312"/>
          <w:color w:val="auto"/>
          <w:sz w:val="32"/>
          <w:szCs w:val="32"/>
          <w:highlight w:val="none"/>
          <w:lang w:eastAsia="zh-CN"/>
        </w:rPr>
        <w:t>中心</w:t>
      </w:r>
      <w:r>
        <w:rPr>
          <w:rFonts w:hint="eastAsia" w:ascii="仿宋_GB2312" w:eastAsia="仿宋_GB2312"/>
          <w:color w:val="auto"/>
          <w:sz w:val="32"/>
          <w:szCs w:val="32"/>
          <w:highlight w:val="none"/>
        </w:rPr>
        <w:t>正常运转的日常支出，包括基本工资、津贴补贴等人员经费以及办公费、印刷费、水电费、办公设备购置等日常公用经费。</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预算执行情况良好，</w:t>
      </w:r>
      <w:r>
        <w:rPr>
          <w:rFonts w:hint="eastAsia" w:ascii="仿宋" w:hAnsi="仿宋" w:eastAsia="仿宋" w:cs="仿宋"/>
          <w:color w:val="auto"/>
          <w:sz w:val="32"/>
          <w:szCs w:val="32"/>
          <w:highlight w:val="none"/>
        </w:rPr>
        <w:t>会计核算和账务管理较好，严格执行政府</w:t>
      </w:r>
      <w:r>
        <w:rPr>
          <w:rFonts w:hint="eastAsia" w:ascii="仿宋" w:hAnsi="仿宋" w:eastAsia="仿宋" w:cs="仿宋"/>
          <w:color w:val="auto"/>
          <w:sz w:val="32"/>
          <w:szCs w:val="32"/>
          <w:highlight w:val="none"/>
          <w:lang w:eastAsia="zh-CN"/>
        </w:rPr>
        <w:t>会计</w:t>
      </w:r>
      <w:r>
        <w:rPr>
          <w:rFonts w:hint="eastAsia" w:ascii="仿宋" w:hAnsi="仿宋" w:eastAsia="仿宋" w:cs="仿宋"/>
          <w:color w:val="auto"/>
          <w:sz w:val="32"/>
          <w:szCs w:val="32"/>
          <w:highlight w:val="none"/>
        </w:rPr>
        <w:t>制度。</w:t>
      </w:r>
    </w:p>
    <w:p>
      <w:pPr>
        <w:pStyle w:val="2"/>
        <w:rPr>
          <w:rFonts w:hint="eastAsia"/>
          <w:lang w:val="zh-CN"/>
        </w:rPr>
      </w:pP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widowControl/>
        <w:adjustRightInd w:val="0"/>
        <w:snapToGrid w:val="0"/>
        <w:spacing w:line="580" w:lineRule="exact"/>
        <w:ind w:firstLine="1280" w:firstLineChars="4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预算、决算执行结果分析总结不透彻。</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改进建议</w:t>
      </w:r>
    </w:p>
    <w:p>
      <w:pPr>
        <w:pStyle w:val="2"/>
        <w:numPr>
          <w:ilvl w:val="0"/>
          <w:numId w:val="0"/>
        </w:numPr>
        <w:ind w:leftChars="200"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加强预决算执行分析。做好预决算执行分析工作是公共支出管理制度改革和公共财政体系建设的必然要求。把预算执行分析作为加强财政基础管理的重要环节，创新思路，拓宽视角，密切监控预算收支执行情况，高标准、严要求抓好预算执行分析，切实提高财政管理与决策的科学化精细化水平。</w:t>
      </w:r>
    </w:p>
    <w:p>
      <w:pPr>
        <w:spacing w:line="580" w:lineRule="exact"/>
        <w:ind w:firstLine="640" w:firstLineChars="200"/>
        <w:rPr>
          <w:rFonts w:ascii="仿宋_GB2312" w:hAnsi="仿宋_GB2312" w:eastAsia="仿宋_GB2312" w:cs="仿宋_GB2312"/>
          <w:sz w:val="32"/>
          <w:szCs w:val="32"/>
        </w:rPr>
      </w:pPr>
    </w:p>
    <w:p>
      <w:pPr>
        <w:spacing w:line="600" w:lineRule="exact"/>
        <w:jc w:val="left"/>
        <w:outlineLvl w:val="0"/>
        <w:rPr>
          <w:rFonts w:ascii="黑体" w:hAnsi="黑体" w:eastAsia="黑体" w:cs="黑体"/>
          <w:sz w:val="32"/>
          <w:szCs w:val="32"/>
        </w:rPr>
      </w:pPr>
      <w:bookmarkStart w:id="114" w:name="_Toc79163633"/>
      <w:bookmarkStart w:id="115" w:name="_Toc3113"/>
      <w:r>
        <w:rPr>
          <w:rFonts w:hint="eastAsia" w:ascii="黑体" w:hAnsi="黑体" w:eastAsia="黑体" w:cs="黑体"/>
          <w:sz w:val="32"/>
          <w:szCs w:val="32"/>
        </w:rPr>
        <w:t>附件</w:t>
      </w:r>
      <w:r>
        <w:rPr>
          <w:rFonts w:ascii="黑体" w:hAnsi="黑体" w:eastAsia="黑体" w:cs="黑体"/>
          <w:sz w:val="32"/>
          <w:szCs w:val="32"/>
        </w:rPr>
        <w:t>2</w:t>
      </w:r>
      <w:bookmarkEnd w:id="114"/>
      <w:bookmarkEnd w:id="115"/>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Fonts w:ascii="方正小标宋简体" w:hAnsi="黑体" w:eastAsia="方正小标宋简体" w:cs="黑体"/>
          <w:sz w:val="44"/>
          <w:szCs w:val="44"/>
        </w:rPr>
      </w:pPr>
      <w:bookmarkStart w:id="116" w:name="_Toc79163634"/>
      <w:bookmarkStart w:id="117" w:name="_Toc8002"/>
      <w:r>
        <w:rPr>
          <w:rFonts w:hint="eastAsia" w:ascii="方正小标宋简体" w:hAnsi="黑体" w:eastAsia="方正小标宋简体" w:cs="黑体"/>
          <w:sz w:val="44"/>
          <w:szCs w:val="44"/>
          <w:lang w:eastAsia="zh-CN"/>
        </w:rPr>
        <w:t>汶川县概算审查中心</w:t>
      </w:r>
      <w:r>
        <w:rPr>
          <w:rFonts w:hint="eastAsia" w:ascii="方正小标宋简体" w:hAnsi="黑体" w:eastAsia="方正小标宋简体" w:cs="黑体"/>
          <w:sz w:val="44"/>
          <w:szCs w:val="44"/>
        </w:rPr>
        <w:t>项目2020年绩效评价报告</w:t>
      </w:r>
      <w:bookmarkEnd w:id="116"/>
      <w:bookmarkEnd w:id="117"/>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无项目支出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widowControl/>
        <w:jc w:val="left"/>
        <w:rPr>
          <w:rStyle w:val="16"/>
          <w:rFonts w:ascii="黑体" w:hAnsi="黑体" w:eastAsia="黑体"/>
          <w:b w:val="0"/>
        </w:rPr>
      </w:pPr>
    </w:p>
    <w:p>
      <w:pPr>
        <w:widowControl/>
        <w:jc w:val="left"/>
        <w:rPr>
          <w:rStyle w:val="16"/>
          <w:rFonts w:ascii="黑体" w:hAnsi="黑体" w:eastAsia="黑体"/>
          <w:b w:val="0"/>
        </w:rPr>
      </w:pPr>
      <w:r>
        <w:rPr>
          <w:rStyle w:val="16"/>
          <w:rFonts w:ascii="黑体" w:hAnsi="黑体" w:eastAsia="黑体"/>
          <w:b w:val="0"/>
        </w:rPr>
        <w:br w:type="page"/>
      </w:r>
    </w:p>
    <w:p>
      <w:pPr>
        <w:spacing w:line="600" w:lineRule="exact"/>
        <w:jc w:val="center"/>
        <w:outlineLvl w:val="0"/>
        <w:rPr>
          <w:rStyle w:val="16"/>
          <w:rFonts w:ascii="黑体" w:hAnsi="黑体" w:eastAsia="黑体"/>
          <w:b w:val="0"/>
        </w:rPr>
      </w:pPr>
      <w:bookmarkStart w:id="118" w:name="_Toc15396618"/>
      <w:bookmarkStart w:id="119" w:name="_Toc79163635"/>
      <w:bookmarkStart w:id="120" w:name="_Toc28043"/>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108"/>
      <w:bookmarkEnd w:id="118"/>
      <w:bookmarkEnd w:id="119"/>
      <w:bookmarkEnd w:id="120"/>
    </w:p>
    <w:p>
      <w:pPr>
        <w:pStyle w:val="5"/>
        <w:rPr>
          <w:rFonts w:ascii="仿宋" w:hAnsi="仿宋" w:eastAsia="仿宋"/>
          <w:color w:val="000000"/>
        </w:rPr>
      </w:pPr>
      <w:bookmarkStart w:id="121" w:name="_Toc79163636"/>
      <w:bookmarkStart w:id="122" w:name="_Toc15396619"/>
      <w:bookmarkStart w:id="123" w:name="_Toc30752"/>
      <w:r>
        <w:rPr>
          <w:rFonts w:hint="eastAsia" w:ascii="仿宋" w:hAnsi="仿宋" w:eastAsia="仿宋"/>
          <w:b w:val="0"/>
          <w:color w:val="000000"/>
        </w:rPr>
        <w:t>一、收</w:t>
      </w:r>
      <w:r>
        <w:rPr>
          <w:rStyle w:val="17"/>
          <w:rFonts w:hint="eastAsia" w:ascii="仿宋" w:hAnsi="仿宋" w:eastAsia="仿宋"/>
          <w:b w:val="0"/>
          <w:bCs w:val="0"/>
        </w:rPr>
        <w:t>入支出决算总表</w:t>
      </w:r>
      <w:bookmarkEnd w:id="121"/>
      <w:bookmarkEnd w:id="122"/>
      <w:bookmarkEnd w:id="123"/>
    </w:p>
    <w:p>
      <w:pPr>
        <w:pStyle w:val="5"/>
        <w:rPr>
          <w:rFonts w:ascii="仿宋" w:hAnsi="仿宋" w:eastAsia="仿宋"/>
          <w:color w:val="000000"/>
        </w:rPr>
      </w:pPr>
      <w:bookmarkStart w:id="124" w:name="_Toc15396620"/>
      <w:bookmarkStart w:id="125" w:name="_Toc79163637"/>
      <w:bookmarkStart w:id="126" w:name="_Toc4993"/>
      <w:r>
        <w:rPr>
          <w:rFonts w:hint="eastAsia" w:ascii="仿宋" w:hAnsi="仿宋" w:eastAsia="仿宋"/>
          <w:b w:val="0"/>
          <w:color w:val="000000"/>
        </w:rPr>
        <w:t>二、收</w:t>
      </w:r>
      <w:r>
        <w:rPr>
          <w:rStyle w:val="17"/>
          <w:rFonts w:hint="eastAsia" w:ascii="仿宋" w:hAnsi="仿宋" w:eastAsia="仿宋"/>
          <w:b w:val="0"/>
          <w:bCs w:val="0"/>
        </w:rPr>
        <w:t>入决算表</w:t>
      </w:r>
      <w:bookmarkEnd w:id="124"/>
      <w:bookmarkEnd w:id="125"/>
      <w:bookmarkEnd w:id="126"/>
    </w:p>
    <w:p>
      <w:pPr>
        <w:pStyle w:val="5"/>
        <w:rPr>
          <w:rFonts w:ascii="仿宋" w:hAnsi="仿宋" w:eastAsia="仿宋"/>
          <w:color w:val="000000"/>
        </w:rPr>
      </w:pPr>
      <w:bookmarkStart w:id="127" w:name="_Toc15396621"/>
      <w:bookmarkStart w:id="128" w:name="_Toc79163638"/>
      <w:bookmarkStart w:id="129" w:name="_Toc32176"/>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出决算表</w:t>
      </w:r>
      <w:bookmarkEnd w:id="127"/>
      <w:bookmarkEnd w:id="128"/>
      <w:bookmarkEnd w:id="129"/>
    </w:p>
    <w:p>
      <w:pPr>
        <w:pStyle w:val="5"/>
        <w:rPr>
          <w:rFonts w:ascii="仿宋" w:hAnsi="仿宋" w:eastAsia="仿宋"/>
          <w:b w:val="0"/>
          <w:color w:val="000000"/>
        </w:rPr>
      </w:pPr>
      <w:bookmarkStart w:id="130" w:name="_Toc79163639"/>
      <w:bookmarkStart w:id="131" w:name="_Toc15396622"/>
      <w:bookmarkStart w:id="132" w:name="_Toc287"/>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130"/>
      <w:bookmarkEnd w:id="131"/>
      <w:bookmarkEnd w:id="132"/>
    </w:p>
    <w:p>
      <w:pPr>
        <w:pStyle w:val="5"/>
        <w:rPr>
          <w:rStyle w:val="17"/>
          <w:rFonts w:ascii="仿宋" w:hAnsi="仿宋" w:eastAsia="仿宋"/>
          <w:b w:val="0"/>
          <w:bCs w:val="0"/>
        </w:rPr>
      </w:pPr>
      <w:bookmarkStart w:id="133" w:name="_Toc15396623"/>
      <w:bookmarkStart w:id="134" w:name="_Toc79163640"/>
      <w:bookmarkStart w:id="135" w:name="_Toc308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w:t>
      </w:r>
      <w:bookmarkEnd w:id="133"/>
      <w:bookmarkEnd w:id="134"/>
      <w:bookmarkEnd w:id="135"/>
      <w:bookmarkStart w:id="136" w:name="_Toc15396624"/>
    </w:p>
    <w:p>
      <w:pPr>
        <w:pStyle w:val="5"/>
        <w:rPr>
          <w:rFonts w:ascii="仿宋" w:hAnsi="仿宋" w:eastAsia="仿宋"/>
          <w:color w:val="000000"/>
        </w:rPr>
      </w:pPr>
      <w:bookmarkStart w:id="137" w:name="_Toc79163641"/>
      <w:bookmarkStart w:id="138" w:name="_Toc23052"/>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136"/>
      <w:bookmarkEnd w:id="137"/>
      <w:bookmarkEnd w:id="138"/>
    </w:p>
    <w:p>
      <w:pPr>
        <w:pStyle w:val="5"/>
        <w:rPr>
          <w:rFonts w:ascii="仿宋" w:hAnsi="仿宋" w:eastAsia="仿宋"/>
          <w:color w:val="000000"/>
        </w:rPr>
      </w:pPr>
      <w:bookmarkStart w:id="139" w:name="_Toc79163642"/>
      <w:bookmarkStart w:id="140" w:name="_Toc15396625"/>
      <w:bookmarkStart w:id="141" w:name="_Toc22634"/>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139"/>
      <w:bookmarkEnd w:id="140"/>
      <w:bookmarkEnd w:id="141"/>
    </w:p>
    <w:p>
      <w:pPr>
        <w:pStyle w:val="5"/>
        <w:rPr>
          <w:rFonts w:ascii="仿宋" w:hAnsi="仿宋" w:eastAsia="仿宋"/>
          <w:color w:val="000000"/>
        </w:rPr>
      </w:pPr>
      <w:bookmarkStart w:id="142" w:name="_Toc79163643"/>
      <w:bookmarkStart w:id="143" w:name="_Toc15396626"/>
      <w:bookmarkStart w:id="144" w:name="_Toc17954"/>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142"/>
      <w:bookmarkEnd w:id="143"/>
      <w:bookmarkEnd w:id="144"/>
    </w:p>
    <w:p>
      <w:pPr>
        <w:pStyle w:val="5"/>
        <w:rPr>
          <w:rFonts w:ascii="仿宋" w:hAnsi="仿宋" w:eastAsia="仿宋"/>
          <w:color w:val="000000"/>
        </w:rPr>
      </w:pPr>
      <w:bookmarkStart w:id="145" w:name="_Toc79163644"/>
      <w:bookmarkStart w:id="146" w:name="_Toc15396627"/>
      <w:bookmarkStart w:id="147" w:name="_Toc7351"/>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145"/>
      <w:bookmarkEnd w:id="146"/>
      <w:bookmarkEnd w:id="147"/>
    </w:p>
    <w:p>
      <w:pPr>
        <w:pStyle w:val="5"/>
        <w:rPr>
          <w:rFonts w:ascii="仿宋" w:hAnsi="仿宋" w:eastAsia="仿宋"/>
          <w:color w:val="000000"/>
        </w:rPr>
      </w:pPr>
      <w:bookmarkStart w:id="148" w:name="_Toc79163645"/>
      <w:bookmarkStart w:id="149" w:name="_Toc15396628"/>
      <w:bookmarkStart w:id="150" w:name="_Toc27439"/>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148"/>
      <w:bookmarkEnd w:id="149"/>
      <w:bookmarkEnd w:id="150"/>
    </w:p>
    <w:p>
      <w:pPr>
        <w:pStyle w:val="5"/>
        <w:rPr>
          <w:rFonts w:ascii="仿宋" w:hAnsi="仿宋" w:eastAsia="仿宋"/>
          <w:color w:val="000000"/>
        </w:rPr>
      </w:pPr>
      <w:bookmarkStart w:id="151" w:name="_Toc79163646"/>
      <w:bookmarkStart w:id="152" w:name="_Toc15396629"/>
      <w:bookmarkStart w:id="153" w:name="_Toc13520"/>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151"/>
      <w:bookmarkEnd w:id="152"/>
      <w:bookmarkEnd w:id="153"/>
    </w:p>
    <w:p>
      <w:pPr>
        <w:pStyle w:val="5"/>
        <w:rPr>
          <w:rFonts w:ascii="仿宋" w:hAnsi="仿宋" w:eastAsia="仿宋"/>
          <w:color w:val="000000"/>
        </w:rPr>
      </w:pPr>
      <w:bookmarkStart w:id="154" w:name="_Toc15396630"/>
      <w:bookmarkStart w:id="155" w:name="_Toc79163647"/>
      <w:bookmarkStart w:id="156" w:name="_Toc30141"/>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154"/>
      <w:bookmarkEnd w:id="155"/>
      <w:bookmarkEnd w:id="156"/>
    </w:p>
    <w:p>
      <w:pPr>
        <w:pStyle w:val="5"/>
        <w:rPr>
          <w:rStyle w:val="17"/>
          <w:rFonts w:ascii="仿宋" w:hAnsi="仿宋" w:eastAsia="仿宋"/>
          <w:b w:val="0"/>
          <w:bCs w:val="0"/>
        </w:rPr>
      </w:pPr>
      <w:bookmarkStart w:id="157" w:name="_Toc15396631"/>
      <w:bookmarkStart w:id="158" w:name="_Toc79163648"/>
      <w:bookmarkStart w:id="159" w:name="_Toc25269"/>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有资本经营预算财政拨款支出决算表</w:t>
      </w:r>
      <w:bookmarkEnd w:id="157"/>
      <w:bookmarkEnd w:id="158"/>
      <w:bookmarkEnd w:id="159"/>
    </w:p>
    <w:p>
      <w:pPr>
        <w:pStyle w:val="5"/>
        <w:rPr>
          <w:rStyle w:val="17"/>
          <w:rFonts w:ascii="仿宋" w:hAnsi="仿宋" w:eastAsia="仿宋"/>
          <w:b w:val="0"/>
          <w:bCs w:val="0"/>
        </w:rPr>
      </w:pPr>
      <w:bookmarkStart w:id="160" w:name="_Toc79163649"/>
      <w:bookmarkStart w:id="161" w:name="_Toc12546"/>
      <w:r>
        <w:rPr>
          <w:rStyle w:val="17"/>
          <w:rFonts w:hint="eastAsia" w:ascii="仿宋" w:hAnsi="仿宋" w:eastAsia="仿宋"/>
          <w:b w:val="0"/>
          <w:bCs w:val="0"/>
        </w:rPr>
        <w:t>十四、国有资本经营预算财政拨款支出决算表</w:t>
      </w:r>
      <w:bookmarkEnd w:id="160"/>
      <w:bookmarkEnd w:id="161"/>
    </w:p>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0F12C"/>
    <w:multiLevelType w:val="singleLevel"/>
    <w:tmpl w:val="A860F12C"/>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45265B99"/>
    <w:multiLevelType w:val="singleLevel"/>
    <w:tmpl w:val="45265B99"/>
    <w:lvl w:ilvl="0" w:tentative="0">
      <w:start w:val="2"/>
      <w:numFmt w:val="chineseCounting"/>
      <w:suff w:val="nothing"/>
      <w:lvlText w:val="%1、"/>
      <w:lvlJc w:val="left"/>
      <w:pPr>
        <w:ind w:left="-13"/>
      </w:pPr>
      <w:rPr>
        <w:rFonts w:hint="eastAsia"/>
      </w:rPr>
    </w:lvl>
  </w:abstractNum>
  <w:abstractNum w:abstractNumId="5">
    <w:nsid w:val="667BF3EB"/>
    <w:multiLevelType w:val="singleLevel"/>
    <w:tmpl w:val="667BF3EB"/>
    <w:lvl w:ilvl="0" w:tentative="0">
      <w:start w:val="2"/>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ZjgyYmRlNWI1ZTM4ZDNlMWUzODdkMDFlMjAzYTcifQ=="/>
  </w:docVars>
  <w:rsids>
    <w:rsidRoot w:val="00000000"/>
    <w:rsid w:val="1A4032CA"/>
    <w:rsid w:val="1CAB2F14"/>
    <w:rsid w:val="33520F39"/>
    <w:rsid w:val="3C041C8D"/>
    <w:rsid w:val="4AFB1724"/>
    <w:rsid w:val="4D7A143A"/>
    <w:rsid w:val="50F1294B"/>
    <w:rsid w:val="518F7935"/>
    <w:rsid w:val="580D0AB7"/>
    <w:rsid w:val="63626D03"/>
    <w:rsid w:val="6C471316"/>
    <w:rsid w:val="77907AFA"/>
    <w:rsid w:val="7E0C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6"/>
    <w:qFormat/>
    <w:uiPriority w:val="9"/>
    <w:pPr>
      <w:keepNext/>
      <w:keepLines/>
      <w:spacing w:before="340" w:after="330" w:line="578" w:lineRule="auto"/>
      <w:jc w:val="center"/>
      <w:outlineLvl w:val="0"/>
    </w:pPr>
    <w:rPr>
      <w:b/>
      <w:bCs/>
      <w:kern w:val="44"/>
      <w:sz w:val="44"/>
      <w:szCs w:val="44"/>
    </w:rPr>
  </w:style>
  <w:style w:type="paragraph" w:styleId="5">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rPr>
      <w:szCs w:val="20"/>
    </w:rPr>
  </w:style>
  <w:style w:type="paragraph" w:styleId="6">
    <w:name w:val="index 8"/>
    <w:basedOn w:val="1"/>
    <w:next w:val="1"/>
    <w:qFormat/>
    <w:uiPriority w:val="0"/>
    <w:pPr>
      <w:ind w:left="2940"/>
    </w:pPr>
  </w:style>
  <w:style w:type="paragraph" w:styleId="7">
    <w:name w:val="Body Text"/>
    <w:basedOn w:val="1"/>
    <w:next w:val="6"/>
    <w:qFormat/>
    <w:uiPriority w:val="99"/>
    <w:pPr>
      <w:spacing w:beforeLines="30"/>
    </w:pPr>
    <w:rPr>
      <w:rFonts w:ascii="仿宋_GB2312" w:eastAsia="仿宋_GB2312"/>
      <w:kern w:val="0"/>
      <w:sz w:val="24"/>
      <w:szCs w:val="20"/>
      <w:lang w:val="zh-CN" w:eastAsia="zh-CN"/>
    </w:rPr>
  </w:style>
  <w:style w:type="paragraph" w:styleId="8">
    <w:name w:val="toc 3"/>
    <w:basedOn w:val="1"/>
    <w:next w:val="1"/>
    <w:unhideWhenUsed/>
    <w:qFormat/>
    <w:uiPriority w:val="39"/>
    <w:pPr>
      <w:ind w:left="420"/>
      <w:jc w:val="left"/>
    </w:pPr>
    <w:rPr>
      <w:rFonts w:asciiTheme="minorHAnsi" w:eastAsiaTheme="minorHAnsi"/>
      <w:i/>
      <w:iCs/>
      <w:sz w:val="20"/>
      <w:szCs w:val="20"/>
    </w:rPr>
  </w:style>
  <w:style w:type="paragraph" w:styleId="9">
    <w:name w:val="footer"/>
    <w:basedOn w:val="1"/>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0">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1">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2">
    <w:name w:val="toc 2"/>
    <w:basedOn w:val="1"/>
    <w:next w:val="1"/>
    <w:unhideWhenUsed/>
    <w:qFormat/>
    <w:uiPriority w:val="39"/>
    <w:pPr>
      <w:ind w:left="210"/>
      <w:jc w:val="left"/>
    </w:pPr>
    <w:rPr>
      <w:rFonts w:asciiTheme="minorHAnsi" w:eastAsiaTheme="minorHAnsi"/>
      <w:smallCaps/>
      <w:sz w:val="20"/>
      <w:szCs w:val="20"/>
    </w:rPr>
  </w:style>
  <w:style w:type="character" w:styleId="15">
    <w:name w:val="Strong"/>
    <w:basedOn w:val="14"/>
    <w:qFormat/>
    <w:uiPriority w:val="99"/>
    <w:rPr>
      <w:rFonts w:cs="Times New Roman"/>
      <w:b/>
    </w:rPr>
  </w:style>
  <w:style w:type="character" w:customStyle="1" w:styleId="16">
    <w:name w:val="标题 1 字符"/>
    <w:basedOn w:val="14"/>
    <w:link w:val="4"/>
    <w:qFormat/>
    <w:locked/>
    <w:uiPriority w:val="9"/>
    <w:rPr>
      <w:b/>
      <w:bCs/>
      <w:kern w:val="44"/>
      <w:sz w:val="44"/>
      <w:szCs w:val="44"/>
    </w:rPr>
  </w:style>
  <w:style w:type="character" w:customStyle="1" w:styleId="17">
    <w:name w:val="标题 2 字符"/>
    <w:basedOn w:val="14"/>
    <w:link w:val="5"/>
    <w:qFormat/>
    <w:locked/>
    <w:uiPriority w:val="9"/>
    <w:rPr>
      <w:rFonts w:ascii="Cambria" w:hAnsi="Cambria"/>
      <w:b/>
      <w:bCs/>
      <w:sz w:val="32"/>
      <w:szCs w:val="32"/>
    </w:rPr>
  </w:style>
  <w:style w:type="paragraph" w:customStyle="1" w:styleId="18">
    <w:name w:val="列表段落1"/>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915;&#31639;&#20844;&#24320;--&#24453;&#20462;&#25913;\&#37096;&#38376;&#20915;&#31639;&#27010;&#31639;\&#22270;&#34920;&#27010;&#31639;.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37096;&#38376;&#20915;&#31639;&#27010;&#31639;\&#22270;&#34920;&#27010;&#31639;.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37096;&#38376;&#20915;&#31639;&#27010;&#31639;\&#22270;&#34920;&#27010;&#3163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37096;&#38376;&#20915;&#31639;&#27010;&#31639;\&#22270;&#34920;&#27010;&#31639;.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915;&#31639;&#20844;&#24320;--&#24453;&#20462;&#25913;\&#37096;&#38376;&#20915;&#31639;&#27010;&#31639;\&#22270;&#34920;&#27010;&#31639;.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37096;&#38376;&#20915;&#31639;&#27010;&#31639;\&#22270;&#34920;&#27010;&#316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[图表概算.xlsx]Sheet1!$A$2:$A$5</c:f>
              <c:strCache>
                <c:ptCount val="4"/>
                <c:pt idx="0">
                  <c:v>2019年度收入</c:v>
                </c:pt>
                <c:pt idx="1">
                  <c:v>2020年度收入</c:v>
                </c:pt>
                <c:pt idx="2">
                  <c:v>2019年度支出</c:v>
                </c:pt>
                <c:pt idx="3">
                  <c:v>2020年度支出</c:v>
                </c:pt>
              </c:strCache>
            </c:strRef>
          </c:cat>
          <c:val>
            <c:numRef>
              <c:f>[图表概算.xlsx]Sheet1!$B$2:$B$5</c:f>
              <c:numCache>
                <c:formatCode>General</c:formatCode>
                <c:ptCount val="4"/>
                <c:pt idx="0">
                  <c:v>31.7</c:v>
                </c:pt>
                <c:pt idx="1">
                  <c:v>28.66</c:v>
                </c:pt>
                <c:pt idx="2">
                  <c:v>31.7</c:v>
                </c:pt>
                <c:pt idx="3">
                  <c:v>28.66</c:v>
                </c:pt>
              </c:numCache>
            </c:numRef>
          </c:val>
        </c:ser>
        <c:dLbls>
          <c:showLegendKey val="0"/>
          <c:showVal val="1"/>
          <c:showCatName val="0"/>
          <c:showSerName val="0"/>
          <c:showPercent val="0"/>
          <c:showBubbleSize val="0"/>
        </c:dLbls>
        <c:gapWidth val="219"/>
        <c:overlap val="-27"/>
        <c:axId val="956219866"/>
        <c:axId val="114616497"/>
      </c:barChart>
      <c:catAx>
        <c:axId val="956219866"/>
        <c:scaling>
          <c:orientation val="minMax"/>
        </c:scaling>
        <c:delete val="0"/>
        <c:axPos val="b"/>
        <c:title>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616497"/>
        <c:crosses val="autoZero"/>
        <c:auto val="1"/>
        <c:lblAlgn val="ctr"/>
        <c:lblOffset val="100"/>
        <c:noMultiLvlLbl val="0"/>
      </c:catAx>
      <c:valAx>
        <c:axId val="11461649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金额（万元）</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62198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[图表概算.xlsx]Sheet1!$A$20:$A$27</c:f>
              <c:strCache>
                <c:ptCount val="8"/>
                <c:pt idx="0">
                  <c:v>一般公共预算财政拨款收入</c:v>
                </c:pt>
                <c:pt idx="1">
                  <c:v>政府性基金预算财政拨款</c:v>
                </c:pt>
                <c:pt idx="2">
                  <c:v>国有资本经营预算财政拨款收入</c:v>
                </c:pt>
                <c:pt idx="3">
                  <c:v>上级补助收入</c:v>
                </c:pt>
                <c:pt idx="4">
                  <c:v>事业收入</c:v>
                </c:pt>
                <c:pt idx="5">
                  <c:v>经营收入</c:v>
                </c:pt>
                <c:pt idx="6">
                  <c:v>附属单位上缴收入</c:v>
                </c:pt>
                <c:pt idx="7">
                  <c:v>其他收入</c:v>
                </c:pt>
              </c:strCache>
            </c:strRef>
          </c:cat>
          <c:val>
            <c:numRef>
              <c:f>[图表概算.xlsx]Sheet1!$B$20:$B$27</c:f>
              <c:numCache>
                <c:formatCode>#,##0.00</c:formatCode>
                <c:ptCount val="8"/>
                <c:pt idx="0">
                  <c:v>28.66</c:v>
                </c:pt>
                <c:pt idx="1">
                  <c:v>0</c:v>
                </c:pt>
                <c:pt idx="2">
                  <c:v>0</c:v>
                </c:pt>
                <c:pt idx="3">
                  <c:v>0</c:v>
                </c:pt>
                <c:pt idx="4">
                  <c:v>0</c:v>
                </c:pt>
                <c:pt idx="5">
                  <c:v>0</c:v>
                </c:pt>
                <c:pt idx="6">
                  <c:v>0</c:v>
                </c:pt>
                <c:pt idx="7">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402700995103459"/>
          <c:y val="0.0316742081447964"/>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[图表概算.xlsx]Sheet1!$A$46:$A$50</c:f>
              <c:strCache>
                <c:ptCount val="5"/>
                <c:pt idx="0">
                  <c:v>基本支出</c:v>
                </c:pt>
                <c:pt idx="1">
                  <c:v>项目支出</c:v>
                </c:pt>
                <c:pt idx="2">
                  <c:v>上缴上级支出</c:v>
                </c:pt>
                <c:pt idx="3">
                  <c:v>经营支出</c:v>
                </c:pt>
                <c:pt idx="4">
                  <c:v>对附属单位补助支出</c:v>
                </c:pt>
              </c:strCache>
            </c:strRef>
          </c:cat>
          <c:val>
            <c:numRef>
              <c:f>[图表概算.xlsx]Sheet1!$B$46:$B$50</c:f>
              <c:numCache>
                <c:formatCode>General</c:formatCode>
                <c:ptCount val="5"/>
                <c:pt idx="0">
                  <c:v>28.66</c:v>
                </c:pt>
                <c:pt idx="1">
                  <c:v>0</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[图表概算.xlsx]Sheet1!$A$67:$A$70</c:f>
              <c:strCache>
                <c:ptCount val="4"/>
                <c:pt idx="0">
                  <c:v>2019年财政拨款收入</c:v>
                </c:pt>
                <c:pt idx="1">
                  <c:v>2020年财政拨款收入</c:v>
                </c:pt>
                <c:pt idx="2">
                  <c:v>2019年财政拨款支出</c:v>
                </c:pt>
                <c:pt idx="3">
                  <c:v>2020年财政拨款支出</c:v>
                </c:pt>
              </c:strCache>
            </c:strRef>
          </c:cat>
          <c:val>
            <c:numRef>
              <c:f>[图表概算.xlsx]Sheet1!$B$67:$B$70</c:f>
              <c:numCache>
                <c:formatCode>General</c:formatCode>
                <c:ptCount val="4"/>
                <c:pt idx="0">
                  <c:v>31.7</c:v>
                </c:pt>
                <c:pt idx="1">
                  <c:v>28.66</c:v>
                </c:pt>
                <c:pt idx="2">
                  <c:v>32.7</c:v>
                </c:pt>
                <c:pt idx="3">
                  <c:v>28.66</c:v>
                </c:pt>
              </c:numCache>
            </c:numRef>
          </c:val>
        </c:ser>
        <c:dLbls>
          <c:showLegendKey val="0"/>
          <c:showVal val="1"/>
          <c:showCatName val="0"/>
          <c:showSerName val="0"/>
          <c:showPercent val="0"/>
          <c:showBubbleSize val="0"/>
        </c:dLbls>
        <c:gapWidth val="219"/>
        <c:overlap val="-27"/>
        <c:axId val="900179617"/>
        <c:axId val="551642705"/>
      </c:barChart>
      <c:catAx>
        <c:axId val="900179617"/>
        <c:scaling>
          <c:orientation val="minMax"/>
        </c:scaling>
        <c:delete val="0"/>
        <c:axPos val="b"/>
        <c:title>
          <c:layout>
            <c:manualLayout>
              <c:xMode val="edge"/>
              <c:yMode val="edge"/>
              <c:x val="0.518174603174603"/>
              <c:y val="0.880555555555556"/>
            </c:manualLayout>
          </c:layout>
          <c:overlay val="0"/>
          <c:spPr>
            <a:noFill/>
            <a:ln>
              <a:noFill/>
            </a:ln>
            <a:effectLst/>
          </c:spPr>
          <c:tx>
            <c:rich>
              <a:bodyPr/>
              <a:lstStyle/>
              <a:p>
                <a:pPr>
                  <a:defRPr/>
                </a:pPr>
              </a:p>
            </c:rich>
          </c:tx>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1642705"/>
        <c:crosses val="autoZero"/>
        <c:auto val="1"/>
        <c:lblAlgn val="ctr"/>
        <c:lblOffset val="100"/>
        <c:noMultiLvlLbl val="0"/>
      </c:catAx>
      <c:valAx>
        <c:axId val="551642705"/>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金额万元</a:t>
                </a:r>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1796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[图表概算.xlsx]Sheet1!$B$91</c:f>
              <c:strCache>
                <c:ptCount val="1"/>
                <c:pt idx="0">
                  <c:v>一般公共预算财政拨款支出决算变动情况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errBars>
            <c:errBarType val="both"/>
            <c:errValType val="stdErr"/>
            <c:noEndCap val="0"/>
            <c:spPr>
              <a:noFill/>
              <a:ln w="9525" cap="flat" cmpd="sng" algn="ctr">
                <a:solidFill>
                  <a:schemeClr val="tx1">
                    <a:lumMod val="65000"/>
                    <a:lumOff val="35000"/>
                  </a:schemeClr>
                </a:solidFill>
                <a:round/>
              </a:ln>
              <a:effectLst/>
            </c:spPr>
          </c:errBars>
          <c:cat>
            <c:strRef>
              <c:f>[图表概算.xlsx]Sheet1!$A$92:$A$93</c:f>
              <c:strCache>
                <c:ptCount val="2"/>
                <c:pt idx="0">
                  <c:v>2019年</c:v>
                </c:pt>
                <c:pt idx="1">
                  <c:v>2020年</c:v>
                </c:pt>
              </c:strCache>
            </c:strRef>
          </c:cat>
          <c:val>
            <c:numRef>
              <c:f>[图表概算.xlsx]Sheet1!$B$92:$B$93</c:f>
              <c:numCache>
                <c:formatCode>General</c:formatCode>
                <c:ptCount val="2"/>
                <c:pt idx="0">
                  <c:v>31.7</c:v>
                </c:pt>
                <c:pt idx="1">
                  <c:v>28.66</c:v>
                </c:pt>
              </c:numCache>
            </c:numRef>
          </c:val>
        </c:ser>
        <c:dLbls>
          <c:showLegendKey val="0"/>
          <c:showVal val="1"/>
          <c:showCatName val="0"/>
          <c:showSerName val="0"/>
          <c:showPercent val="0"/>
          <c:showBubbleSize val="0"/>
        </c:dLbls>
        <c:gapWidth val="219"/>
        <c:overlap val="-27"/>
        <c:axId val="312192112"/>
        <c:axId val="18141823"/>
      </c:barChart>
      <c:catAx>
        <c:axId val="312192112"/>
        <c:scaling>
          <c:orientation val="minMax"/>
        </c:scaling>
        <c:delete val="0"/>
        <c:axPos val="b"/>
        <c:title>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41823"/>
        <c:crosses val="autoZero"/>
        <c:auto val="1"/>
        <c:lblAlgn val="ctr"/>
        <c:lblOffset val="100"/>
        <c:noMultiLvlLbl val="0"/>
      </c:catAx>
      <c:valAx>
        <c:axId val="18141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2192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[图表概算.xlsx]Sheet1!$A$110:$A$113</c:f>
              <c:strCache>
                <c:ptCount val="4"/>
                <c:pt idx="0">
                  <c:v>一般公共服务支出</c:v>
                </c:pt>
                <c:pt idx="1">
                  <c:v>社会保障和就业支出</c:v>
                </c:pt>
                <c:pt idx="2">
                  <c:v>卫生健康支出</c:v>
                </c:pt>
                <c:pt idx="3">
                  <c:v>住房保障支出</c:v>
                </c:pt>
              </c:strCache>
            </c:strRef>
          </c:cat>
          <c:val>
            <c:numRef>
              <c:f>[图表概算.xlsx]Sheet1!$B$110:$B$113</c:f>
              <c:numCache>
                <c:formatCode>#,##0.00</c:formatCode>
                <c:ptCount val="4"/>
                <c:pt idx="0">
                  <c:v>21.84</c:v>
                </c:pt>
                <c:pt idx="1">
                  <c:v>2.22</c:v>
                </c:pt>
                <c:pt idx="2">
                  <c:v>1.33</c:v>
                </c:pt>
                <c:pt idx="3">
                  <c:v>3.27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6256</Words>
  <Characters>6657</Characters>
  <Lines>0</Lines>
  <Paragraphs>0</Paragraphs>
  <TotalTime>1</TotalTime>
  <ScaleCrop>false</ScaleCrop>
  <LinksUpToDate>false</LinksUpToDate>
  <CharactersWithSpaces>6732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2022-12-26T04:37:15Z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2DF0859B709A4CDCAE1A4CFEBDB0C63C</vt:lpwstr>
  </property>
</Properties>
</file>