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auto"/>
          <w:sz w:val="72"/>
          <w:szCs w:val="72"/>
        </w:rPr>
      </w:pPr>
      <w:bookmarkStart w:id="0" w:name="_Toc15306267"/>
    </w:p>
    <w:p>
      <w:pPr>
        <w:spacing w:line="600" w:lineRule="exact"/>
        <w:jc w:val="center"/>
        <w:outlineLvl w:val="0"/>
        <w:rPr>
          <w:rFonts w:ascii="方正小标宋简体" w:eastAsia="方正小标宋简体"/>
          <w:color w:val="auto"/>
          <w:sz w:val="72"/>
          <w:szCs w:val="72"/>
        </w:rPr>
      </w:pPr>
    </w:p>
    <w:p>
      <w:pPr>
        <w:spacing w:line="600" w:lineRule="exact"/>
        <w:jc w:val="center"/>
        <w:outlineLvl w:val="0"/>
        <w:rPr>
          <w:rFonts w:ascii="方正小标宋简体" w:eastAsia="方正小标宋简体"/>
          <w:color w:val="auto"/>
          <w:sz w:val="72"/>
          <w:szCs w:val="72"/>
        </w:rPr>
      </w:pPr>
    </w:p>
    <w:p>
      <w:pPr>
        <w:spacing w:line="600" w:lineRule="exact"/>
        <w:jc w:val="center"/>
        <w:outlineLvl w:val="0"/>
        <w:rPr>
          <w:rFonts w:ascii="方正小标宋简体" w:eastAsia="方正小标宋简体"/>
          <w:color w:val="auto"/>
          <w:sz w:val="72"/>
          <w:szCs w:val="72"/>
        </w:rPr>
      </w:pPr>
    </w:p>
    <w:p>
      <w:pPr>
        <w:adjustRightInd w:val="0"/>
        <w:snapToGrid w:val="0"/>
        <w:spacing w:line="360" w:lineRule="auto"/>
        <w:jc w:val="center"/>
        <w:outlineLvl w:val="0"/>
        <w:rPr>
          <w:rFonts w:ascii="方正小标宋简体" w:eastAsia="方正小标宋简体"/>
          <w:color w:val="auto"/>
          <w:sz w:val="72"/>
          <w:szCs w:val="72"/>
        </w:rPr>
      </w:pPr>
      <w:bookmarkStart w:id="1" w:name="_Toc15396475"/>
      <w:bookmarkStart w:id="2" w:name="_Toc15396597"/>
      <w:bookmarkStart w:id="3" w:name="_Toc15377425"/>
      <w:bookmarkStart w:id="4" w:name="_Toc15378441"/>
      <w:bookmarkStart w:id="5" w:name="_Toc15377193"/>
      <w:bookmarkStart w:id="6" w:name="_Toc21549"/>
      <w:r>
        <w:rPr>
          <w:rFonts w:ascii="黑体" w:eastAsia="黑体"/>
          <w:color w:val="auto"/>
          <w:sz w:val="72"/>
          <w:szCs w:val="72"/>
        </w:rPr>
        <w:t>20</w:t>
      </w:r>
      <w:r>
        <w:rPr>
          <w:rFonts w:ascii="黑体" w:eastAsia="黑体" w:hint="eastAsia"/>
          <w:color w:val="auto"/>
          <w:sz w:val="72"/>
          <w:szCs w:val="72"/>
          <w:lang w:val="en-US" w:eastAsia="zh-CN"/>
        </w:rPr>
        <w:t>20</w:t>
      </w:r>
      <w:r>
        <w:rPr>
          <w:rFonts w:ascii="方正小标宋简体" w:eastAsia="方正小标宋简体" w:hint="eastAsia"/>
          <w:color w:val="auto"/>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eastAsia="方正小标宋简体" w:hint="eastAsia"/>
          <w:color w:val="auto"/>
          <w:sz w:val="72"/>
          <w:szCs w:val="72"/>
        </w:rPr>
      </w:pPr>
      <w:bookmarkStart w:id="7" w:name="_Toc15396476"/>
      <w:bookmarkStart w:id="8" w:name="_Toc15378442"/>
      <w:bookmarkStart w:id="9" w:name="_Toc15377426"/>
      <w:bookmarkStart w:id="10" w:name="_Toc15396598"/>
      <w:bookmarkStart w:id="11" w:name="_Toc15377194"/>
      <w:bookmarkStart w:id="12" w:name="_Toc8045"/>
      <w:r>
        <w:rPr>
          <w:rFonts w:ascii="方正小标宋简体" w:eastAsia="方正小标宋简体" w:hint="eastAsia"/>
          <w:color w:val="auto"/>
          <w:sz w:val="72"/>
          <w:szCs w:val="72"/>
        </w:rPr>
        <w:t>四川省</w:t>
      </w:r>
      <w:bookmarkEnd w:id="0"/>
      <w:bookmarkEnd w:id="7"/>
      <w:bookmarkEnd w:id="8"/>
      <w:bookmarkEnd w:id="9"/>
      <w:bookmarkEnd w:id="10"/>
      <w:bookmarkEnd w:id="11"/>
      <w:r>
        <w:rPr>
          <w:rFonts w:ascii="方正小标宋简体" w:eastAsia="方正小标宋简体" w:hint="eastAsia"/>
          <w:color w:val="auto"/>
          <w:sz w:val="72"/>
          <w:szCs w:val="72"/>
        </w:rPr>
        <w:t>阿坝州汶川县</w:t>
      </w:r>
      <w:bookmarkEnd w:id="12"/>
    </w:p>
    <w:p>
      <w:pPr>
        <w:adjustRightInd w:val="0"/>
        <w:snapToGrid w:val="0"/>
        <w:spacing w:line="360" w:lineRule="auto"/>
        <w:jc w:val="center"/>
        <w:outlineLvl w:val="0"/>
        <w:rPr>
          <w:rFonts w:ascii="方正小标宋简体" w:eastAsia="方正小标宋简体" w:hint="eastAsia"/>
          <w:color w:val="auto"/>
          <w:sz w:val="72"/>
          <w:szCs w:val="72"/>
          <w:lang w:eastAsia="zh-CN"/>
        </w:rPr>
      </w:pPr>
      <w:bookmarkStart w:id="13" w:name="_Toc2104"/>
      <w:bookmarkStart w:id="14" w:name="_Toc15306268"/>
      <w:r>
        <w:rPr>
          <w:rFonts w:ascii="方正小标宋简体" w:eastAsia="方正小标宋简体" w:hint="eastAsia"/>
          <w:color w:val="auto"/>
          <w:sz w:val="72"/>
          <w:szCs w:val="72"/>
          <w:lang w:eastAsia="zh-CN"/>
        </w:rPr>
        <w:t>人民政府群众工作中心</w:t>
      </w:r>
      <w:bookmarkEnd w:id="13"/>
    </w:p>
    <w:p>
      <w:pPr>
        <w:adjustRightInd w:val="0"/>
        <w:snapToGrid w:val="0"/>
        <w:spacing w:line="360" w:lineRule="auto"/>
        <w:jc w:val="center"/>
        <w:outlineLvl w:val="0"/>
        <w:rPr>
          <w:rFonts w:ascii="方正小标宋简体" w:eastAsia="方正小标宋简体"/>
          <w:color w:val="auto"/>
          <w:sz w:val="72"/>
          <w:szCs w:val="72"/>
        </w:rPr>
      </w:pPr>
      <w:bookmarkStart w:id="15" w:name="_Toc11047"/>
      <w:r>
        <w:rPr>
          <w:rFonts w:ascii="方正小标宋简体" w:eastAsia="方正小标宋简体" w:hint="eastAsia"/>
          <w:color w:val="auto"/>
          <w:sz w:val="72"/>
          <w:szCs w:val="72"/>
        </w:rPr>
        <w:t>部门决算</w:t>
      </w:r>
      <w:bookmarkEnd w:id="14"/>
      <w:bookmarkEnd w:id="15"/>
    </w:p>
    <w:p>
      <w:pPr>
        <w:adjustRightInd w:val="0"/>
        <w:snapToGrid w:val="0"/>
        <w:spacing w:line="360" w:lineRule="auto"/>
        <w:jc w:val="center"/>
        <w:outlineLvl w:val="0"/>
        <w:rPr>
          <w:rFonts w:ascii="方正小标宋简体" w:eastAsia="方正小标宋简体"/>
          <w:color w:val="auto"/>
          <w:sz w:val="52"/>
          <w:szCs w:val="52"/>
        </w:rPr>
      </w:pPr>
    </w:p>
    <w:p>
      <w:pPr>
        <w:widowControl/>
        <w:jc w:val="center"/>
        <w:rPr>
          <w:rFonts w:ascii="黑体" w:eastAsia="黑体" w:hint="eastAsia"/>
          <w:color w:val="auto"/>
          <w:sz w:val="48"/>
          <w:szCs w:val="48"/>
        </w:rPr>
      </w:pPr>
      <w:r>
        <w:rPr>
          <w:rFonts w:ascii="方正小标宋简体" w:eastAsia="方正小标宋简体"/>
          <w:color w:val="auto"/>
          <w:sz w:val="36"/>
          <w:szCs w:val="36"/>
        </w:rPr>
        <w:br w:type="page"/>
      </w:r>
      <w:r>
        <w:rPr>
          <w:rFonts w:ascii="黑体" w:eastAsia="黑体" w:hint="eastAsia"/>
          <w:color w:val="auto"/>
          <w:sz w:val="48"/>
          <w:szCs w:val="48"/>
        </w:rPr>
        <w:t>目录</w:t>
      </w:r>
    </w:p>
    <w:p>
      <w:pPr>
        <w:pStyle w:val="19"/>
        <w:tabs>
          <w:tab w:val="right" w:leader="dot" w:pos="8296"/>
        </w:tabs>
        <w:rPr>
          <w:color w:val="auto"/>
        </w:rPr>
      </w:pPr>
      <w:r>
        <w:rPr>
          <w:rFonts w:hint="eastAsia"/>
          <w:color w:val="auto"/>
        </w:rPr>
        <w:t>公开时间：20</w:t>
      </w:r>
      <w:r>
        <w:rPr>
          <w:rFonts w:hint="eastAsia"/>
          <w:color w:val="auto"/>
          <w:lang w:val="en-US" w:eastAsia="zh-CN"/>
        </w:rPr>
        <w:t>20</w:t>
      </w:r>
      <w:r>
        <w:rPr>
          <w:rFonts w:hint="eastAsia"/>
          <w:color w:val="auto"/>
        </w:rPr>
        <w:t>年9月</w:t>
      </w:r>
      <w:r>
        <w:rPr>
          <w:rFonts w:hint="eastAsia"/>
          <w:color w:val="auto"/>
          <w:lang w:val="en-US" w:eastAsia="zh-CN"/>
        </w:rPr>
        <w:t>14</w:t>
      </w:r>
      <w:r>
        <w:rPr>
          <w:rFonts w:hint="eastAsia"/>
          <w:color w:val="auto"/>
        </w:rPr>
        <w:t>日</w:t>
      </w:r>
    </w:p>
    <w:p>
      <w:pPr>
        <w:pStyle w:val="15"/>
      </w:pPr>
    </w:p>
    <w:p>
      <w:pPr>
        <w:pStyle w:val="19"/>
        <w:tabs>
          <w:tab w:val="clear" w:pos="8296"/>
          <w:tab w:val="right" w:leader="dot" w:pos="8306"/>
        </w:tabs>
      </w:pPr>
      <w:r>
        <w:rPr>
          <w:rFonts w:ascii="黑体" w:eastAsia="黑体"/>
          <w:color w:val="auto"/>
          <w:sz w:val="48"/>
          <w:szCs w:val="48"/>
        </w:rPr>
        <w:fldChar w:fldCharType="begin"/>
      </w:r>
      <w:r>
        <w:rPr>
          <w:rFonts w:ascii="黑体" w:eastAsia="黑体"/>
          <w:color w:val="auto"/>
          <w:sz w:val="48"/>
          <w:szCs w:val="48"/>
        </w:rPr>
        <w:instrText xml:space="preserve"> TOC \o "1-2" \h \z \u </w:instrText>
      </w:r>
      <w:r>
        <w:rPr>
          <w:rFonts w:ascii="黑体" w:eastAsia="黑体"/>
          <w:color w:val="auto"/>
          <w:sz w:val="48"/>
          <w:szCs w:val="48"/>
        </w:rPr>
        <w:fldChar w:fldCharType="separate"/>
      </w:r>
      <w:r>
        <w:rPr>
          <w:rFonts w:ascii="仿宋" w:eastAsia="仿宋"/>
        </w:rPr>
        <w:fldChar w:fldCharType="begin"/>
      </w:r>
      <w:r>
        <w:rPr>
          <w:rFonts w:ascii="仿宋" w:eastAsia="仿宋"/>
        </w:rPr>
        <w:instrText xml:space="preserve"> HYPERLINK \l _Toc13208 </w:instrText>
      </w:r>
      <w:r>
        <w:rPr>
          <w:rFonts w:ascii="仿宋" w:eastAsia="仿宋"/>
        </w:rPr>
        <w:fldChar w:fldCharType="separate"/>
      </w:r>
      <w:r>
        <w:rPr>
          <w:rFonts w:ascii="仿宋_GB2312" w:eastAsia="仿宋_GB2312" w:cs="仿宋_GB2312" w:hint="eastAsia"/>
          <w:szCs w:val="28"/>
        </w:rPr>
        <w:t xml:space="preserve">第一部分 </w:t>
      </w:r>
      <w:r>
        <w:rPr>
          <w:rFonts w:ascii="仿宋_GB2312" w:eastAsia="仿宋_GB2312" w:cs="仿宋_GB2312" w:hint="eastAsia"/>
          <w:bCs w:val="0"/>
          <w:szCs w:val="28"/>
        </w:rPr>
        <w:t>部门概况</w:t>
      </w:r>
      <w:r>
        <w:tab/>
      </w:r>
      <w:r>
        <w:fldChar w:fldCharType="begin"/>
      </w:r>
      <w:r>
        <w:instrText xml:space="preserve"> PAGEREF _Toc13208 \h </w:instrText>
      </w:r>
      <w:r>
        <w:fldChar w:fldCharType="separate"/>
      </w:r>
      <w:r>
        <w:t>4</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_Toc27386 </w:instrText>
      </w:r>
      <w:r>
        <w:rPr>
          <w:rFonts w:ascii="仿宋" w:eastAsia="仿宋"/>
        </w:rPr>
        <w:fldChar w:fldCharType="separate"/>
      </w:r>
      <w:r>
        <w:rPr>
          <w:rFonts w:ascii="仿宋_GB2312" w:eastAsia="仿宋_GB2312" w:cs="仿宋_GB2312" w:hint="eastAsia"/>
          <w:bCs w:val="0"/>
          <w:kern w:val="2"/>
          <w:szCs w:val="28"/>
          <w:lang w:val="en-US" w:eastAsia="zh-CN" w:bidi="ar-SA"/>
        </w:rPr>
        <w:t>一、基本职能及主要工作</w:t>
      </w:r>
      <w:r>
        <w:tab/>
      </w:r>
      <w:r>
        <w:fldChar w:fldCharType="begin"/>
      </w:r>
      <w:r>
        <w:instrText xml:space="preserve"> PAGEREF _Toc27386 \h </w:instrText>
      </w:r>
      <w:r>
        <w:fldChar w:fldCharType="separate"/>
      </w:r>
      <w:r>
        <w:t>4</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_Toc9573 </w:instrText>
      </w:r>
      <w:r>
        <w:rPr>
          <w:rFonts w:ascii="仿宋" w:eastAsia="仿宋"/>
        </w:rPr>
        <w:fldChar w:fldCharType="separate"/>
      </w:r>
      <w:r>
        <w:rPr>
          <w:rFonts w:ascii="仿宋_GB2312" w:eastAsia="仿宋_GB2312" w:cs="仿宋_GB2312" w:hint="eastAsia"/>
          <w:bCs w:val="0"/>
          <w:kern w:val="2"/>
          <w:szCs w:val="28"/>
          <w:lang w:val="en-US" w:eastAsia="zh-CN" w:bidi="ar-SA"/>
        </w:rPr>
        <w:t>（一）主要职能。</w:t>
      </w:r>
      <w:r>
        <w:tab/>
      </w:r>
      <w:r>
        <w:fldChar w:fldCharType="begin"/>
      </w:r>
      <w:r>
        <w:instrText xml:space="preserve"> PAGEREF _Toc9573 \h </w:instrText>
      </w:r>
      <w:r>
        <w:fldChar w:fldCharType="separate"/>
      </w:r>
      <w:r>
        <w:t>4</w:t>
      </w:r>
      <w:r>
        <w:fldChar w:fldCharType="end"/>
      </w:r>
      <w:r>
        <w:rPr>
          <w:rFonts w:ascii="仿宋" w:eastAsia="仿宋"/>
          <w:color w:val="auto"/>
        </w:rPr>
        <w:fldChar w:fldCharType="end"/>
      </w:r>
    </w:p>
    <w:p>
      <w:pPr>
        <w:pStyle w:val="19"/>
        <w:tabs>
          <w:tab w:val="clear" w:pos="8296"/>
          <w:tab w:val="right" w:leader="dot" w:pos="8306"/>
        </w:tabs>
      </w:pPr>
      <w:r>
        <w:rPr>
          <w:rFonts w:ascii="仿宋" w:eastAsia="仿宋"/>
        </w:rPr>
        <w:fldChar w:fldCharType="begin"/>
      </w:r>
      <w:r>
        <w:rPr>
          <w:rFonts w:ascii="仿宋" w:eastAsia="仿宋"/>
        </w:rPr>
        <w:instrText xml:space="preserve"> HYPERLINK \l _Toc8782 </w:instrText>
      </w:r>
      <w:r>
        <w:rPr>
          <w:rFonts w:ascii="仿宋" w:eastAsia="仿宋"/>
        </w:rPr>
        <w:fldChar w:fldCharType="separate"/>
      </w:r>
      <w:r>
        <w:rPr>
          <w:rFonts w:ascii="仿宋_GB2312" w:eastAsia="仿宋_GB2312" w:cs="仿宋_GB2312" w:hint="eastAsia"/>
          <w:szCs w:val="28"/>
        </w:rPr>
        <w:t xml:space="preserve">第二部分 </w:t>
      </w:r>
      <w:r>
        <w:rPr>
          <w:rFonts w:ascii="仿宋_GB2312" w:eastAsia="仿宋_GB2312" w:cs="仿宋_GB2312" w:hint="eastAsia"/>
          <w:bCs w:val="0"/>
          <w:szCs w:val="28"/>
          <w:lang w:eastAsia="zh-CN"/>
        </w:rPr>
        <w:t>2020年</w:t>
      </w:r>
      <w:r>
        <w:rPr>
          <w:rFonts w:ascii="仿宋_GB2312" w:eastAsia="仿宋_GB2312" w:cs="仿宋_GB2312" w:hint="eastAsia"/>
          <w:bCs w:val="0"/>
          <w:szCs w:val="28"/>
        </w:rPr>
        <w:t>度部门决算情况说明</w:t>
      </w:r>
      <w:r>
        <w:tab/>
      </w:r>
      <w:r>
        <w:fldChar w:fldCharType="begin"/>
      </w:r>
      <w:r>
        <w:instrText xml:space="preserve"> PAGEREF _Toc8782 \h </w:instrText>
      </w:r>
      <w:r>
        <w:fldChar w:fldCharType="separate"/>
      </w:r>
      <w:r>
        <w:t>8</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_Toc30418 </w:instrText>
      </w:r>
      <w:r>
        <w:rPr>
          <w:rFonts w:ascii="仿宋" w:eastAsia="仿宋"/>
        </w:rPr>
        <w:fldChar w:fldCharType="separate"/>
      </w:r>
      <w:r>
        <w:rPr>
          <w:rFonts w:ascii="仿宋_GB2312" w:eastAsia="仿宋_GB2312" w:cs="仿宋_GB2312"/>
          <w:szCs w:val="28"/>
        </w:rPr>
        <w:t xml:space="preserve">一、 </w:t>
      </w:r>
      <w:r>
        <w:rPr>
          <w:rFonts w:ascii="仿宋_GB2312" w:eastAsia="仿宋_GB2312" w:cs="仿宋_GB2312" w:hint="eastAsia"/>
          <w:szCs w:val="28"/>
        </w:rPr>
        <w:t>收入支出决算总体情况说明</w:t>
      </w:r>
      <w:r>
        <w:tab/>
      </w:r>
      <w:r>
        <w:fldChar w:fldCharType="begin"/>
      </w:r>
      <w:r>
        <w:instrText xml:space="preserve"> PAGEREF _Toc30418 \h </w:instrText>
      </w:r>
      <w:r>
        <w:fldChar w:fldCharType="separate"/>
      </w:r>
      <w:r>
        <w:t>8</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_Toc7706 </w:instrText>
      </w:r>
      <w:r>
        <w:rPr>
          <w:rFonts w:ascii="仿宋" w:eastAsia="仿宋"/>
        </w:rPr>
        <w:fldChar w:fldCharType="separate"/>
      </w:r>
      <w:r>
        <w:rPr>
          <w:rFonts w:ascii="仿宋_GB2312" w:eastAsia="仿宋_GB2312" w:cs="仿宋_GB2312"/>
          <w:szCs w:val="28"/>
        </w:rPr>
        <w:t xml:space="preserve">二、 </w:t>
      </w:r>
      <w:r>
        <w:rPr>
          <w:rFonts w:ascii="仿宋_GB2312" w:eastAsia="仿宋_GB2312" w:cs="仿宋_GB2312" w:hint="eastAsia"/>
          <w:szCs w:val="28"/>
        </w:rPr>
        <w:t>收入决算情况说明</w:t>
      </w:r>
      <w:r>
        <w:tab/>
      </w:r>
      <w:r>
        <w:fldChar w:fldCharType="begin"/>
      </w:r>
      <w:r>
        <w:instrText xml:space="preserve"> PAGEREF _Toc7706 \h </w:instrText>
      </w:r>
      <w:r>
        <w:fldChar w:fldCharType="separate"/>
      </w:r>
      <w:r>
        <w:t>8</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_Toc12535 </w:instrText>
      </w:r>
      <w:r>
        <w:rPr>
          <w:rFonts w:ascii="仿宋" w:eastAsia="仿宋"/>
        </w:rPr>
        <w:fldChar w:fldCharType="separate"/>
      </w:r>
      <w:r>
        <w:rPr>
          <w:rFonts w:ascii="仿宋_GB2312" w:eastAsia="仿宋_GB2312" w:cs="仿宋_GB2312"/>
          <w:szCs w:val="28"/>
        </w:rPr>
        <w:t xml:space="preserve">三、 </w:t>
      </w:r>
      <w:r>
        <w:rPr>
          <w:rFonts w:ascii="仿宋_GB2312" w:eastAsia="仿宋_GB2312" w:cs="仿宋_GB2312" w:hint="eastAsia"/>
          <w:szCs w:val="28"/>
        </w:rPr>
        <w:t>支出决算情况说明</w:t>
      </w:r>
      <w:r>
        <w:tab/>
      </w:r>
      <w:r>
        <w:fldChar w:fldCharType="begin"/>
      </w:r>
      <w:r>
        <w:instrText xml:space="preserve"> PAGEREF _Toc12535 \h </w:instrText>
      </w:r>
      <w:r>
        <w:fldChar w:fldCharType="separate"/>
      </w:r>
      <w:r>
        <w:t>9</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_Toc14516 </w:instrText>
      </w:r>
      <w:r>
        <w:rPr>
          <w:rFonts w:ascii="仿宋" w:eastAsia="仿宋"/>
        </w:rPr>
        <w:fldChar w:fldCharType="separate"/>
      </w:r>
      <w:r>
        <w:rPr>
          <w:rFonts w:ascii="仿宋_GB2312" w:eastAsia="仿宋_GB2312" w:cs="仿宋_GB2312" w:hint="eastAsia"/>
          <w:szCs w:val="28"/>
        </w:rPr>
        <w:t>四、财政拨款收入支出决算总体情况说明</w:t>
      </w:r>
      <w:r>
        <w:tab/>
      </w:r>
      <w:r>
        <w:fldChar w:fldCharType="begin"/>
      </w:r>
      <w:r>
        <w:instrText xml:space="preserve"> PAGEREF _Toc14516 \h </w:instrText>
      </w:r>
      <w:r>
        <w:fldChar w:fldCharType="separate"/>
      </w:r>
      <w:r>
        <w:t>9</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_Toc4401 </w:instrText>
      </w:r>
      <w:r>
        <w:rPr>
          <w:rFonts w:ascii="仿宋" w:eastAsia="仿宋"/>
        </w:rPr>
        <w:fldChar w:fldCharType="separate"/>
      </w:r>
      <w:r>
        <w:rPr>
          <w:rFonts w:ascii="仿宋_GB2312" w:eastAsia="仿宋_GB2312" w:cs="仿宋_GB2312" w:hint="eastAsia"/>
          <w:szCs w:val="28"/>
        </w:rPr>
        <w:t>五、一般公共预算财政拨款支出决算情况说明</w:t>
      </w:r>
      <w:r>
        <w:tab/>
      </w:r>
      <w:r>
        <w:fldChar w:fldCharType="begin"/>
      </w:r>
      <w:r>
        <w:instrText xml:space="preserve"> PAGEREF _Toc4401 \h </w:instrText>
      </w:r>
      <w:r>
        <w:fldChar w:fldCharType="separate"/>
      </w:r>
      <w:r>
        <w:t>10</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_Toc26257 </w:instrText>
      </w:r>
      <w:r>
        <w:rPr>
          <w:rFonts w:ascii="仿宋" w:eastAsia="仿宋"/>
        </w:rPr>
        <w:fldChar w:fldCharType="separate"/>
      </w:r>
      <w:r>
        <w:rPr>
          <w:rFonts w:ascii="仿宋_GB2312" w:eastAsia="仿宋_GB2312" w:cs="仿宋_GB2312" w:hint="eastAsia"/>
          <w:szCs w:val="28"/>
        </w:rPr>
        <w:t>六、一般公共预算财政拨款基本支出决算情况说明</w:t>
      </w:r>
      <w:r>
        <w:tab/>
      </w:r>
      <w:r>
        <w:fldChar w:fldCharType="begin"/>
      </w:r>
      <w:r>
        <w:instrText xml:space="preserve"> PAGEREF _Toc26257 \h </w:instrText>
      </w:r>
      <w:r>
        <w:fldChar w:fldCharType="separate"/>
      </w:r>
      <w:r>
        <w:t>11</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_Toc26 </w:instrText>
      </w:r>
      <w:r>
        <w:rPr>
          <w:rFonts w:ascii="仿宋" w:eastAsia="仿宋"/>
        </w:rPr>
        <w:fldChar w:fldCharType="separate"/>
      </w:r>
      <w:r>
        <w:rPr>
          <w:rFonts w:ascii="仿宋_GB2312" w:eastAsia="仿宋_GB2312" w:cs="仿宋_GB2312" w:hint="eastAsia"/>
          <w:szCs w:val="28"/>
        </w:rPr>
        <w:t>七、“三公”经费财政拨款支出决算情况说明</w:t>
      </w:r>
      <w:r>
        <w:tab/>
      </w:r>
      <w:r>
        <w:fldChar w:fldCharType="begin"/>
      </w:r>
      <w:r>
        <w:instrText xml:space="preserve"> PAGEREF _Toc26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_Toc1012 </w:instrText>
      </w:r>
      <w:r>
        <w:rPr>
          <w:rFonts w:ascii="仿宋" w:eastAsia="仿宋"/>
        </w:rPr>
        <w:fldChar w:fldCharType="separate"/>
      </w:r>
      <w:r>
        <w:rPr>
          <w:rFonts w:ascii="仿宋_GB2312" w:eastAsia="仿宋_GB2312" w:cs="仿宋_GB2312" w:hint="eastAsia"/>
          <w:szCs w:val="28"/>
        </w:rPr>
        <w:t>（一）“三公”经费财政拨款支出决算总体情况说明</w:t>
      </w:r>
      <w:r>
        <w:tab/>
      </w:r>
      <w:r>
        <w:fldChar w:fldCharType="begin"/>
      </w:r>
      <w:r>
        <w:instrText xml:space="preserve"> PAGEREF _Toc1012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_Toc28340 </w:instrText>
      </w:r>
      <w:r>
        <w:rPr>
          <w:rFonts w:ascii="仿宋" w:eastAsia="仿宋"/>
        </w:rPr>
        <w:fldChar w:fldCharType="separate"/>
      </w:r>
      <w:r>
        <w:rPr>
          <w:rFonts w:ascii="仿宋_GB2312" w:eastAsia="仿宋_GB2312" w:cs="仿宋_GB2312" w:hint="eastAsia"/>
          <w:szCs w:val="28"/>
          <w:lang w:eastAsia="zh-CN"/>
        </w:rPr>
        <w:t>无。</w:t>
      </w:r>
      <w:r>
        <w:tab/>
      </w:r>
      <w:r>
        <w:fldChar w:fldCharType="begin"/>
      </w:r>
      <w:r>
        <w:instrText xml:space="preserve"> PAGEREF _Toc28340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_Toc21628 </w:instrText>
      </w:r>
      <w:r>
        <w:rPr>
          <w:rFonts w:ascii="仿宋" w:eastAsia="仿宋"/>
        </w:rPr>
        <w:fldChar w:fldCharType="separate"/>
      </w:r>
      <w:r>
        <w:rPr>
          <w:rFonts w:ascii="仿宋_GB2312" w:eastAsia="仿宋_GB2312" w:cs="仿宋_GB2312" w:hint="eastAsia"/>
          <w:szCs w:val="28"/>
        </w:rPr>
        <w:t>（二）“三公”经费财政拨款支出决算具体情况说明</w:t>
      </w:r>
      <w:r>
        <w:tab/>
      </w:r>
      <w:r>
        <w:fldChar w:fldCharType="begin"/>
      </w:r>
      <w:r>
        <w:instrText xml:space="preserve"> PAGEREF _Toc21628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_Toc22078 </w:instrText>
      </w:r>
      <w:r>
        <w:rPr>
          <w:rFonts w:ascii="仿宋" w:eastAsia="仿宋"/>
        </w:rPr>
        <w:fldChar w:fldCharType="separate"/>
      </w:r>
      <w:r>
        <w:rPr>
          <w:rFonts w:ascii="仿宋_GB2312" w:eastAsia="仿宋_GB2312" w:cs="仿宋_GB2312" w:hint="eastAsia"/>
          <w:szCs w:val="28"/>
          <w:lang w:eastAsia="zh-CN"/>
        </w:rPr>
        <w:t>2020年</w:t>
      </w:r>
      <w:r>
        <w:rPr>
          <w:rFonts w:ascii="仿宋_GB2312" w:eastAsia="仿宋_GB2312" w:cs="仿宋_GB2312" w:hint="eastAsia"/>
          <w:szCs w:val="28"/>
        </w:rPr>
        <w:t>“三公”经费财政拨款支出决算中，因公出国（境）费支出决算</w:t>
      </w:r>
      <w:r>
        <w:rPr>
          <w:rFonts w:ascii="仿宋_GB2312" w:eastAsia="仿宋_GB2312" w:cs="仿宋_GB2312" w:hint="eastAsia"/>
          <w:szCs w:val="28"/>
          <w:lang w:val="en-US" w:eastAsia="zh-CN"/>
        </w:rPr>
        <w:t>0</w:t>
      </w:r>
      <w:r>
        <w:rPr>
          <w:rFonts w:ascii="仿宋_GB2312" w:eastAsia="仿宋_GB2312" w:cs="仿宋_GB2312" w:hint="eastAsia"/>
          <w:szCs w:val="28"/>
        </w:rPr>
        <w:t>万元，占</w:t>
      </w:r>
      <w:r>
        <w:rPr>
          <w:rFonts w:ascii="仿宋_GB2312" w:eastAsia="仿宋_GB2312" w:cs="仿宋_GB2312" w:hint="eastAsia"/>
          <w:szCs w:val="28"/>
          <w:lang w:val="en-US" w:eastAsia="zh-CN"/>
        </w:rPr>
        <w:t>0</w:t>
      </w:r>
      <w:r>
        <w:rPr>
          <w:rFonts w:ascii="仿宋_GB2312" w:eastAsia="仿宋_GB2312" w:cs="仿宋_GB2312" w:hint="eastAsia"/>
          <w:szCs w:val="28"/>
        </w:rPr>
        <w:t>%；公务用车购置及运行维护费支出决算</w:t>
      </w:r>
      <w:r>
        <w:rPr>
          <w:rFonts w:ascii="仿宋_GB2312" w:eastAsia="仿宋_GB2312" w:cs="仿宋_GB2312" w:hint="eastAsia"/>
          <w:szCs w:val="28"/>
          <w:lang w:val="en-US" w:eastAsia="zh-CN"/>
        </w:rPr>
        <w:t>0</w:t>
      </w:r>
      <w:r>
        <w:rPr>
          <w:rFonts w:ascii="仿宋_GB2312" w:eastAsia="仿宋_GB2312" w:cs="仿宋_GB2312" w:hint="eastAsia"/>
          <w:szCs w:val="28"/>
        </w:rPr>
        <w:t>万元，占</w:t>
      </w:r>
      <w:r>
        <w:rPr>
          <w:rFonts w:ascii="仿宋_GB2312" w:eastAsia="仿宋_GB2312" w:cs="仿宋_GB2312" w:hint="eastAsia"/>
          <w:szCs w:val="28"/>
          <w:lang w:val="en-US" w:eastAsia="zh-CN"/>
        </w:rPr>
        <w:t>0</w:t>
      </w:r>
      <w:r>
        <w:rPr>
          <w:rFonts w:ascii="仿宋_GB2312" w:eastAsia="仿宋_GB2312" w:cs="仿宋_GB2312" w:hint="eastAsia"/>
          <w:szCs w:val="28"/>
        </w:rPr>
        <w:t>%；公务接待费支出决算</w:t>
      </w:r>
      <w:r>
        <w:rPr>
          <w:rFonts w:ascii="仿宋_GB2312" w:eastAsia="仿宋_GB2312" w:cs="仿宋_GB2312" w:hint="eastAsia"/>
          <w:szCs w:val="28"/>
          <w:lang w:val="en-US" w:eastAsia="zh-CN"/>
        </w:rPr>
        <w:t>0</w:t>
      </w:r>
      <w:r>
        <w:rPr>
          <w:rFonts w:ascii="仿宋_GB2312" w:eastAsia="仿宋_GB2312" w:cs="仿宋_GB2312" w:hint="eastAsia"/>
          <w:szCs w:val="28"/>
        </w:rPr>
        <w:t>万元，占</w:t>
      </w:r>
      <w:r>
        <w:rPr>
          <w:rFonts w:ascii="仿宋_GB2312" w:eastAsia="仿宋_GB2312" w:cs="仿宋_GB2312" w:hint="eastAsia"/>
          <w:szCs w:val="28"/>
          <w:lang w:val="en-US" w:eastAsia="zh-CN"/>
        </w:rPr>
        <w:t>0</w:t>
      </w:r>
      <w:r>
        <w:rPr>
          <w:rFonts w:ascii="仿宋_GB2312" w:eastAsia="仿宋_GB2312" w:cs="仿宋_GB2312" w:hint="eastAsia"/>
          <w:szCs w:val="28"/>
        </w:rPr>
        <w:t>%。</w:t>
      </w:r>
      <w:r>
        <w:tab/>
      </w:r>
      <w:r>
        <w:fldChar w:fldCharType="begin"/>
      </w:r>
      <w:r>
        <w:instrText xml:space="preserve"> PAGEREF _Toc22078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_Toc2076 </w:instrText>
      </w:r>
      <w:r>
        <w:rPr>
          <w:rFonts w:ascii="仿宋" w:eastAsia="仿宋"/>
        </w:rPr>
        <w:fldChar w:fldCharType="separate"/>
      </w:r>
      <w:r>
        <w:rPr>
          <w:rFonts w:ascii="仿宋_GB2312" w:eastAsia="仿宋_GB2312" w:cs="仿宋_GB2312" w:hint="eastAsia"/>
          <w:szCs w:val="28"/>
        </w:rPr>
        <w:t>八、政府性基金预算支出决算情况说明</w:t>
      </w:r>
      <w:r>
        <w:tab/>
      </w:r>
      <w:r>
        <w:fldChar w:fldCharType="begin"/>
      </w:r>
      <w:r>
        <w:instrText xml:space="preserve"> PAGEREF _Toc2076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_Toc7108 </w:instrText>
      </w:r>
      <w:r>
        <w:rPr>
          <w:rFonts w:ascii="仿宋" w:eastAsia="仿宋"/>
        </w:rPr>
        <w:fldChar w:fldCharType="separate"/>
      </w:r>
      <w:r>
        <w:rPr>
          <w:rFonts w:ascii="仿宋_GB2312" w:eastAsia="仿宋_GB2312" w:cs="仿宋_GB2312" w:hint="eastAsia"/>
          <w:szCs w:val="28"/>
        </w:rPr>
        <w:t>九、 国有资本经营预算支出决算情况说明</w:t>
      </w:r>
      <w:r>
        <w:tab/>
      </w:r>
      <w:r>
        <w:fldChar w:fldCharType="begin"/>
      </w:r>
      <w:r>
        <w:instrText xml:space="preserve"> PAGEREF _Toc7108 \h </w:instrText>
      </w:r>
      <w:r>
        <w:fldChar w:fldCharType="separate"/>
      </w:r>
      <w:r>
        <w:t>12</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_Toc14575 </w:instrText>
      </w:r>
      <w:r>
        <w:rPr>
          <w:rFonts w:ascii="仿宋" w:eastAsia="仿宋"/>
        </w:rPr>
        <w:fldChar w:fldCharType="separate"/>
      </w:r>
      <w:r>
        <w:rPr>
          <w:rFonts w:ascii="仿宋_GB2312" w:eastAsia="仿宋_GB2312" w:cs="仿宋_GB2312" w:hint="eastAsia"/>
          <w:szCs w:val="28"/>
          <w:lang w:eastAsia="zh-CN"/>
        </w:rPr>
        <w:t>（四）</w:t>
      </w:r>
      <w:r>
        <w:rPr>
          <w:rFonts w:ascii="仿宋_GB2312" w:eastAsia="仿宋_GB2312" w:cs="仿宋_GB2312" w:hint="eastAsia"/>
          <w:szCs w:val="28"/>
        </w:rPr>
        <w:t>预算绩效情况说明</w:t>
      </w:r>
      <w:r>
        <w:tab/>
      </w:r>
      <w:r>
        <w:fldChar w:fldCharType="begin"/>
      </w:r>
      <w:r>
        <w:instrText xml:space="preserve"> PAGEREF _Toc14575 \h </w:instrText>
      </w:r>
      <w:r>
        <w:fldChar w:fldCharType="separate"/>
      </w:r>
      <w:r>
        <w:t>13</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_Toc7477 </w:instrText>
      </w:r>
      <w:r>
        <w:rPr>
          <w:rFonts w:ascii="仿宋" w:eastAsia="仿宋"/>
        </w:rPr>
        <w:fldChar w:fldCharType="separate"/>
      </w:r>
      <w:r>
        <w:rPr>
          <w:rFonts w:ascii="仿宋_GB2312" w:eastAsia="仿宋_GB2312" w:cs="仿宋_GB2312" w:hint="eastAsia"/>
          <w:kern w:val="2"/>
          <w:szCs w:val="28"/>
          <w:lang w:val="en-US" w:eastAsia="zh-CN" w:bidi="ar-SA"/>
        </w:rPr>
        <w:t>1.预算绩效管理工作开展情况。</w:t>
      </w:r>
      <w:r>
        <w:tab/>
      </w:r>
      <w:r>
        <w:fldChar w:fldCharType="begin"/>
      </w:r>
      <w:r>
        <w:instrText xml:space="preserve"> PAGEREF _Toc7477 \h </w:instrText>
      </w:r>
      <w:r>
        <w:fldChar w:fldCharType="separate"/>
      </w:r>
      <w:r>
        <w:t>13</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_Toc12416 </w:instrText>
      </w:r>
      <w:r>
        <w:rPr>
          <w:rFonts w:ascii="仿宋" w:eastAsia="仿宋"/>
        </w:rPr>
        <w:fldChar w:fldCharType="separate"/>
      </w:r>
      <w:r>
        <w:rPr>
          <w:rFonts w:ascii="仿宋_GB2312" w:eastAsia="仿宋_GB2312" w:cs="仿宋_GB2312" w:hint="eastAsia"/>
          <w:kern w:val="2"/>
          <w:szCs w:val="28"/>
          <w:lang w:val="en-US" w:eastAsia="zh-CN" w:bidi="ar-SA"/>
        </w:rPr>
        <w:t>无。</w:t>
      </w:r>
      <w:r>
        <w:tab/>
      </w:r>
      <w:r>
        <w:fldChar w:fldCharType="begin"/>
      </w:r>
      <w:r>
        <w:instrText xml:space="preserve"> PAGEREF _Toc12416 \h </w:instrText>
      </w:r>
      <w:r>
        <w:fldChar w:fldCharType="separate"/>
      </w:r>
      <w:r>
        <w:t>13</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_Toc7158 </w:instrText>
      </w:r>
      <w:r>
        <w:rPr>
          <w:rFonts w:ascii="仿宋" w:eastAsia="仿宋"/>
        </w:rPr>
        <w:fldChar w:fldCharType="separate"/>
      </w:r>
      <w:r>
        <w:rPr>
          <w:rFonts w:ascii="仿宋_GB2312" w:eastAsia="仿宋_GB2312" w:cs="仿宋_GB2312" w:hint="eastAsia"/>
          <w:kern w:val="2"/>
          <w:szCs w:val="28"/>
          <w:lang w:val="en-US" w:eastAsia="zh-CN" w:bidi="ar-SA"/>
        </w:rPr>
        <w:t>（1） 项目绩效目标完成情况。</w:t>
      </w:r>
      <w:r>
        <w:tab/>
      </w:r>
      <w:r>
        <w:fldChar w:fldCharType="begin"/>
      </w:r>
      <w:r>
        <w:instrText xml:space="preserve"> PAGEREF _Toc7158 \h </w:instrText>
      </w:r>
      <w:r>
        <w:fldChar w:fldCharType="separate"/>
      </w:r>
      <w:r>
        <w:t>13</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_Toc30848 </w:instrText>
      </w:r>
      <w:r>
        <w:rPr>
          <w:rFonts w:ascii="仿宋" w:eastAsia="仿宋"/>
        </w:rPr>
        <w:fldChar w:fldCharType="separate"/>
      </w:r>
      <w:r>
        <w:rPr>
          <w:rFonts w:ascii="仿宋_GB2312" w:eastAsia="仿宋_GB2312" w:cs="仿宋_GB2312" w:hint="eastAsia"/>
          <w:kern w:val="2"/>
          <w:szCs w:val="28"/>
          <w:lang w:val="en-US" w:eastAsia="zh-CN" w:bidi="ar-SA"/>
        </w:rPr>
        <w:t>（2） 无。</w:t>
      </w:r>
      <w:r>
        <w:tab/>
      </w:r>
      <w:r>
        <w:fldChar w:fldCharType="begin"/>
      </w:r>
      <w:r>
        <w:instrText xml:space="preserve"> PAGEREF _Toc30848 \h </w:instrText>
      </w:r>
      <w:r>
        <w:fldChar w:fldCharType="separate"/>
      </w:r>
      <w:r>
        <w:t>13</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_Toc6482 </w:instrText>
      </w:r>
      <w:r>
        <w:rPr>
          <w:rFonts w:ascii="仿宋" w:eastAsia="仿宋"/>
        </w:rPr>
        <w:fldChar w:fldCharType="separate"/>
      </w:r>
      <w:r>
        <w:rPr>
          <w:rFonts w:ascii="仿宋_GB2312" w:eastAsia="仿宋_GB2312" w:cs="仿宋_GB2312" w:hint="eastAsia"/>
          <w:szCs w:val="28"/>
          <w:lang w:val="en-US" w:eastAsia="zh-CN"/>
        </w:rPr>
        <w:t>无。</w:t>
      </w:r>
      <w:r>
        <w:tab/>
      </w:r>
      <w:r>
        <w:fldChar w:fldCharType="begin"/>
      </w:r>
      <w:r>
        <w:instrText xml:space="preserve"> PAGEREF _Toc6482 \h </w:instrText>
      </w:r>
      <w:r>
        <w:fldChar w:fldCharType="separate"/>
      </w:r>
      <w:r>
        <w:t>14</w:t>
      </w:r>
      <w:r>
        <w:fldChar w:fldCharType="end"/>
      </w:r>
      <w:r>
        <w:rPr>
          <w:rFonts w:ascii="仿宋" w:eastAsia="仿宋"/>
          <w:color w:val="auto"/>
        </w:rPr>
        <w:fldChar w:fldCharType="end"/>
      </w:r>
    </w:p>
    <w:p>
      <w:pPr>
        <w:pStyle w:val="19"/>
        <w:tabs>
          <w:tab w:val="clear" w:pos="8296"/>
          <w:tab w:val="right" w:leader="dot" w:pos="8306"/>
        </w:tabs>
      </w:pPr>
      <w:r>
        <w:rPr>
          <w:rFonts w:ascii="仿宋" w:eastAsia="仿宋"/>
        </w:rPr>
        <w:fldChar w:fldCharType="begin"/>
      </w:r>
      <w:r>
        <w:rPr>
          <w:rFonts w:ascii="仿宋" w:eastAsia="仿宋"/>
        </w:rPr>
        <w:instrText xml:space="preserve"> HYPERLINK \l _Toc6656 </w:instrText>
      </w:r>
      <w:r>
        <w:rPr>
          <w:rFonts w:ascii="仿宋" w:eastAsia="仿宋"/>
        </w:rPr>
        <w:fldChar w:fldCharType="separate"/>
      </w:r>
      <w:r>
        <w:rPr>
          <w:rFonts w:ascii="仿宋_GB2312" w:eastAsia="仿宋_GB2312" w:cs="仿宋_GB2312" w:hint="eastAsia"/>
          <w:szCs w:val="28"/>
        </w:rPr>
        <w:t>第三部分 名词解释</w:t>
      </w:r>
      <w:r>
        <w:tab/>
      </w:r>
      <w:r>
        <w:fldChar w:fldCharType="begin"/>
      </w:r>
      <w:r>
        <w:instrText xml:space="preserve"> PAGEREF _Toc6656 \h </w:instrText>
      </w:r>
      <w:r>
        <w:fldChar w:fldCharType="separate"/>
      </w:r>
      <w:r>
        <w:t>15</w:t>
      </w:r>
      <w:r>
        <w:fldChar w:fldCharType="end"/>
      </w:r>
      <w:r>
        <w:rPr>
          <w:rFonts w:ascii="仿宋" w:eastAsia="仿宋"/>
          <w:color w:val="auto"/>
        </w:rPr>
        <w:fldChar w:fldCharType="end"/>
      </w:r>
    </w:p>
    <w:p>
      <w:pPr>
        <w:pStyle w:val="19"/>
        <w:tabs>
          <w:tab w:val="clear" w:pos="8296"/>
          <w:tab w:val="right" w:leader="dot" w:pos="8306"/>
        </w:tabs>
      </w:pPr>
      <w:r>
        <w:rPr>
          <w:rFonts w:ascii="仿宋" w:eastAsia="仿宋"/>
        </w:rPr>
        <w:fldChar w:fldCharType="begin"/>
      </w:r>
      <w:r>
        <w:rPr>
          <w:rFonts w:ascii="仿宋" w:eastAsia="仿宋"/>
        </w:rPr>
        <w:instrText xml:space="preserve"> HYPERLINK \l _Toc6971 </w:instrText>
      </w:r>
      <w:r>
        <w:rPr>
          <w:rFonts w:ascii="仿宋" w:eastAsia="仿宋"/>
        </w:rPr>
        <w:fldChar w:fldCharType="separate"/>
      </w:r>
      <w:r>
        <w:rPr>
          <w:rFonts w:ascii="黑体" w:eastAsia="黑体" w:hint="eastAsia"/>
          <w:szCs w:val="28"/>
        </w:rPr>
        <w:t>第四部分 附件</w:t>
      </w:r>
      <w:r>
        <w:tab/>
      </w:r>
      <w:r>
        <w:fldChar w:fldCharType="begin"/>
      </w:r>
      <w:r>
        <w:instrText xml:space="preserve"> PAGEREF _Toc6971 \h </w:instrText>
      </w:r>
      <w:r>
        <w:fldChar w:fldCharType="separate"/>
      </w:r>
      <w:r>
        <w:t>17</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_Toc18345 </w:instrText>
      </w:r>
      <w:r>
        <w:rPr>
          <w:rFonts w:ascii="仿宋" w:eastAsia="仿宋"/>
        </w:rPr>
        <w:fldChar w:fldCharType="separate"/>
      </w:r>
      <w:r>
        <w:rPr>
          <w:rFonts w:ascii="仿宋" w:eastAsia="仿宋" w:hint="eastAsia"/>
          <w:bCs w:val="0"/>
          <w:szCs w:val="28"/>
        </w:rPr>
        <w:t>附件1</w:t>
      </w:r>
      <w:r>
        <w:tab/>
      </w:r>
      <w:r>
        <w:fldChar w:fldCharType="begin"/>
      </w:r>
      <w:r>
        <w:instrText xml:space="preserve"> PAGEREF _Toc18345 \h </w:instrText>
      </w:r>
      <w:r>
        <w:fldChar w:fldCharType="separate"/>
      </w:r>
      <w:r>
        <w:t>17</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_Toc16215 </w:instrText>
      </w:r>
      <w:r>
        <w:rPr>
          <w:rFonts w:ascii="仿宋" w:eastAsia="仿宋"/>
        </w:rPr>
        <w:fldChar w:fldCharType="separate"/>
      </w:r>
      <w:r>
        <w:rPr>
          <w:rFonts w:ascii="仿宋" w:eastAsia="仿宋" w:hint="eastAsia"/>
          <w:bCs w:val="0"/>
          <w:szCs w:val="28"/>
        </w:rPr>
        <w:t>附件2</w:t>
      </w:r>
      <w:r>
        <w:tab/>
      </w:r>
      <w:r>
        <w:fldChar w:fldCharType="begin"/>
      </w:r>
      <w:r>
        <w:instrText xml:space="preserve"> PAGEREF _Toc16215 \h </w:instrText>
      </w:r>
      <w:r>
        <w:fldChar w:fldCharType="separate"/>
      </w:r>
      <w:r>
        <w:t>24</w:t>
      </w:r>
      <w:r>
        <w:fldChar w:fldCharType="end"/>
      </w:r>
      <w:r>
        <w:rPr>
          <w:rFonts w:ascii="仿宋" w:eastAsia="仿宋"/>
          <w:color w:val="auto"/>
        </w:rPr>
        <w:fldChar w:fldCharType="end"/>
      </w:r>
    </w:p>
    <w:p>
      <w:pPr>
        <w:pStyle w:val="19"/>
        <w:tabs>
          <w:tab w:val="clear" w:pos="8296"/>
          <w:tab w:val="right" w:leader="dot" w:pos="8306"/>
        </w:tabs>
      </w:pPr>
      <w:r>
        <w:rPr>
          <w:rFonts w:ascii="仿宋" w:eastAsia="仿宋"/>
        </w:rPr>
        <w:fldChar w:fldCharType="begin"/>
      </w:r>
      <w:r>
        <w:rPr>
          <w:rFonts w:ascii="仿宋" w:eastAsia="仿宋"/>
        </w:rPr>
        <w:instrText xml:space="preserve"> HYPERLINK \l _Toc1645 </w:instrText>
      </w:r>
      <w:r>
        <w:rPr>
          <w:rFonts w:ascii="仿宋" w:eastAsia="仿宋"/>
        </w:rPr>
        <w:fldChar w:fldCharType="separate"/>
      </w:r>
      <w:r>
        <w:rPr>
          <w:rFonts w:ascii="仿宋_GB2312" w:eastAsia="仿宋_GB2312" w:cs="仿宋_GB2312" w:hint="eastAsia"/>
          <w:szCs w:val="28"/>
        </w:rPr>
        <w:t>第五部分 附表</w:t>
      </w:r>
      <w:r>
        <w:tab/>
      </w:r>
      <w:r>
        <w:fldChar w:fldCharType="begin"/>
      </w:r>
      <w:r>
        <w:instrText xml:space="preserve"> PAGEREF _Toc1645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_Toc18910 </w:instrText>
      </w:r>
      <w:r>
        <w:rPr>
          <w:rFonts w:ascii="仿宋" w:eastAsia="仿宋"/>
        </w:rPr>
        <w:fldChar w:fldCharType="separate"/>
      </w:r>
      <w:r>
        <w:rPr>
          <w:rFonts w:ascii="仿宋_GB2312" w:eastAsia="仿宋_GB2312" w:cs="仿宋_GB2312" w:hint="eastAsia"/>
          <w:szCs w:val="28"/>
        </w:rPr>
        <w:t>一、收</w:t>
      </w:r>
      <w:r>
        <w:rPr>
          <w:rFonts w:ascii="仿宋_GB2312" w:eastAsia="仿宋_GB2312" w:cs="仿宋_GB2312" w:hint="eastAsia"/>
          <w:bCs w:val="0"/>
          <w:szCs w:val="28"/>
        </w:rPr>
        <w:t>入支出决算总表</w:t>
      </w:r>
      <w:r>
        <w:tab/>
      </w:r>
      <w:r>
        <w:fldChar w:fldCharType="begin"/>
      </w:r>
      <w:r>
        <w:instrText xml:space="preserve"> PAGEREF _Toc18910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_Toc12767 </w:instrText>
      </w:r>
      <w:r>
        <w:rPr>
          <w:rFonts w:ascii="仿宋" w:eastAsia="仿宋"/>
        </w:rPr>
        <w:fldChar w:fldCharType="separate"/>
      </w:r>
      <w:r>
        <w:rPr>
          <w:rFonts w:ascii="仿宋_GB2312" w:eastAsia="仿宋_GB2312" w:cs="仿宋_GB2312" w:hint="eastAsia"/>
          <w:szCs w:val="28"/>
        </w:rPr>
        <w:t>二、收</w:t>
      </w:r>
      <w:r>
        <w:rPr>
          <w:rFonts w:ascii="仿宋_GB2312" w:eastAsia="仿宋_GB2312" w:cs="仿宋_GB2312" w:hint="eastAsia"/>
          <w:bCs w:val="0"/>
          <w:szCs w:val="28"/>
        </w:rPr>
        <w:t>入总表</w:t>
      </w:r>
      <w:r>
        <w:tab/>
      </w:r>
      <w:r>
        <w:fldChar w:fldCharType="begin"/>
      </w:r>
      <w:r>
        <w:instrText xml:space="preserve"> PAGEREF _Toc12767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_Toc11668 </w:instrText>
      </w:r>
      <w:r>
        <w:rPr>
          <w:rFonts w:ascii="仿宋" w:eastAsia="仿宋"/>
        </w:rPr>
        <w:fldChar w:fldCharType="separate"/>
      </w:r>
      <w:r>
        <w:rPr>
          <w:rFonts w:ascii="仿宋_GB2312" w:eastAsia="仿宋_GB2312" w:cs="仿宋_GB2312" w:hint="eastAsia"/>
          <w:bCs w:val="0"/>
          <w:szCs w:val="28"/>
        </w:rPr>
        <w:t>三、</w:t>
      </w:r>
      <w:r>
        <w:rPr>
          <w:rFonts w:ascii="仿宋_GB2312" w:eastAsia="仿宋_GB2312" w:cs="仿宋_GB2312" w:hint="eastAsia"/>
          <w:szCs w:val="28"/>
        </w:rPr>
        <w:t>支</w:t>
      </w:r>
      <w:r>
        <w:rPr>
          <w:rFonts w:ascii="仿宋_GB2312" w:eastAsia="仿宋_GB2312" w:cs="仿宋_GB2312" w:hint="eastAsia"/>
          <w:bCs w:val="0"/>
          <w:szCs w:val="28"/>
        </w:rPr>
        <w:t>出总表</w:t>
      </w:r>
      <w:r>
        <w:tab/>
      </w:r>
      <w:r>
        <w:fldChar w:fldCharType="begin"/>
      </w:r>
      <w:r>
        <w:instrText xml:space="preserve"> PAGEREF _Toc11668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_Toc32574 </w:instrText>
      </w:r>
      <w:r>
        <w:rPr>
          <w:rFonts w:ascii="仿宋" w:eastAsia="仿宋"/>
        </w:rPr>
        <w:fldChar w:fldCharType="separate"/>
      </w:r>
      <w:r>
        <w:rPr>
          <w:rFonts w:ascii="仿宋_GB2312" w:eastAsia="仿宋_GB2312" w:cs="仿宋_GB2312" w:hint="eastAsia"/>
          <w:bCs w:val="0"/>
          <w:szCs w:val="28"/>
        </w:rPr>
        <w:t>四、</w:t>
      </w:r>
      <w:r>
        <w:rPr>
          <w:rFonts w:ascii="仿宋_GB2312" w:eastAsia="仿宋_GB2312" w:cs="仿宋_GB2312" w:hint="eastAsia"/>
          <w:szCs w:val="28"/>
        </w:rPr>
        <w:t>财</w:t>
      </w:r>
      <w:r>
        <w:rPr>
          <w:rFonts w:ascii="仿宋_GB2312" w:eastAsia="仿宋_GB2312" w:cs="仿宋_GB2312" w:hint="eastAsia"/>
          <w:bCs w:val="0"/>
          <w:szCs w:val="28"/>
        </w:rPr>
        <w:t>政拨款收入支出决算总表</w:t>
      </w:r>
      <w:r>
        <w:tab/>
      </w:r>
      <w:r>
        <w:fldChar w:fldCharType="begin"/>
      </w:r>
      <w:r>
        <w:instrText xml:space="preserve"> PAGEREF _Toc32574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_Toc23568 </w:instrText>
      </w:r>
      <w:r>
        <w:rPr>
          <w:rFonts w:ascii="仿宋" w:eastAsia="仿宋"/>
        </w:rPr>
        <w:fldChar w:fldCharType="separate"/>
      </w:r>
      <w:r>
        <w:rPr>
          <w:rFonts w:ascii="仿宋_GB2312" w:eastAsia="仿宋_GB2312" w:cs="仿宋_GB2312" w:hint="eastAsia"/>
          <w:bCs w:val="0"/>
          <w:szCs w:val="28"/>
        </w:rPr>
        <w:t>五、</w:t>
      </w:r>
      <w:r>
        <w:rPr>
          <w:rFonts w:ascii="仿宋_GB2312" w:eastAsia="仿宋_GB2312" w:cs="仿宋_GB2312" w:hint="eastAsia"/>
          <w:szCs w:val="28"/>
        </w:rPr>
        <w:t>财</w:t>
      </w:r>
      <w:r>
        <w:rPr>
          <w:rFonts w:ascii="仿宋_GB2312" w:eastAsia="仿宋_GB2312" w:cs="仿宋_GB2312" w:hint="eastAsia"/>
          <w:bCs w:val="0"/>
          <w:szCs w:val="28"/>
        </w:rPr>
        <w:t>政拨款支出决算明细表（政府经济分类科目）</w:t>
      </w:r>
      <w:r>
        <w:tab/>
      </w:r>
      <w:r>
        <w:fldChar w:fldCharType="begin"/>
      </w:r>
      <w:r>
        <w:instrText xml:space="preserve"> PAGEREF _Toc23568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_Toc12185 </w:instrText>
      </w:r>
      <w:r>
        <w:rPr>
          <w:rFonts w:ascii="仿宋" w:eastAsia="仿宋"/>
        </w:rPr>
        <w:fldChar w:fldCharType="separate"/>
      </w:r>
      <w:r>
        <w:rPr>
          <w:rFonts w:ascii="仿宋_GB2312" w:eastAsia="仿宋_GB2312" w:cs="仿宋_GB2312" w:hint="eastAsia"/>
          <w:bCs w:val="0"/>
          <w:szCs w:val="28"/>
        </w:rPr>
        <w:t>六、</w:t>
      </w:r>
      <w:r>
        <w:rPr>
          <w:rFonts w:ascii="仿宋_GB2312" w:eastAsia="仿宋_GB2312" w:cs="仿宋_GB2312" w:hint="eastAsia"/>
          <w:szCs w:val="28"/>
        </w:rPr>
        <w:t>一</w:t>
      </w:r>
      <w:r>
        <w:rPr>
          <w:rFonts w:ascii="仿宋_GB2312" w:eastAsia="仿宋_GB2312" w:cs="仿宋_GB2312" w:hint="eastAsia"/>
          <w:bCs w:val="0"/>
          <w:szCs w:val="28"/>
        </w:rPr>
        <w:t>般公共预算财政拨款支出决算表</w:t>
      </w:r>
      <w:r>
        <w:tab/>
      </w:r>
      <w:r>
        <w:fldChar w:fldCharType="begin"/>
      </w:r>
      <w:r>
        <w:instrText xml:space="preserve"> PAGEREF _Toc12185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_Toc6327 </w:instrText>
      </w:r>
      <w:r>
        <w:rPr>
          <w:rFonts w:ascii="仿宋" w:eastAsia="仿宋"/>
        </w:rPr>
        <w:fldChar w:fldCharType="separate"/>
      </w:r>
      <w:r>
        <w:rPr>
          <w:rFonts w:ascii="仿宋_GB2312" w:eastAsia="仿宋_GB2312" w:cs="仿宋_GB2312" w:hint="eastAsia"/>
          <w:bCs w:val="0"/>
          <w:szCs w:val="28"/>
        </w:rPr>
        <w:t>七、</w:t>
      </w:r>
      <w:r>
        <w:rPr>
          <w:rFonts w:ascii="仿宋_GB2312" w:eastAsia="仿宋_GB2312" w:cs="仿宋_GB2312" w:hint="eastAsia"/>
          <w:szCs w:val="28"/>
        </w:rPr>
        <w:t>一</w:t>
      </w:r>
      <w:r>
        <w:rPr>
          <w:rFonts w:ascii="仿宋_GB2312" w:eastAsia="仿宋_GB2312" w:cs="仿宋_GB2312" w:hint="eastAsia"/>
          <w:bCs w:val="0"/>
          <w:szCs w:val="28"/>
        </w:rPr>
        <w:t>般公共预算财政拨款支出决算明细表</w:t>
      </w:r>
      <w:r>
        <w:tab/>
      </w:r>
      <w:r>
        <w:fldChar w:fldCharType="begin"/>
      </w:r>
      <w:r>
        <w:instrText xml:space="preserve"> PAGEREF _Toc6327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_Toc3359 </w:instrText>
      </w:r>
      <w:r>
        <w:rPr>
          <w:rFonts w:ascii="仿宋" w:eastAsia="仿宋"/>
        </w:rPr>
        <w:fldChar w:fldCharType="separate"/>
      </w:r>
      <w:r>
        <w:rPr>
          <w:rFonts w:ascii="仿宋_GB2312" w:eastAsia="仿宋_GB2312" w:cs="仿宋_GB2312" w:hint="eastAsia"/>
          <w:bCs w:val="0"/>
          <w:szCs w:val="28"/>
        </w:rPr>
        <w:t>八、</w:t>
      </w:r>
      <w:r>
        <w:rPr>
          <w:rFonts w:ascii="仿宋_GB2312" w:eastAsia="仿宋_GB2312" w:cs="仿宋_GB2312" w:hint="eastAsia"/>
          <w:szCs w:val="28"/>
        </w:rPr>
        <w:t>一</w:t>
      </w:r>
      <w:r>
        <w:rPr>
          <w:rFonts w:ascii="仿宋_GB2312" w:eastAsia="仿宋_GB2312" w:cs="仿宋_GB2312" w:hint="eastAsia"/>
          <w:bCs w:val="0"/>
          <w:szCs w:val="28"/>
        </w:rPr>
        <w:t>般公共预算财政拨款基本支出决算表</w:t>
      </w:r>
      <w:r>
        <w:tab/>
      </w:r>
      <w:r>
        <w:fldChar w:fldCharType="begin"/>
      </w:r>
      <w:r>
        <w:instrText xml:space="preserve"> PAGEREF _Toc3359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_Toc20433 </w:instrText>
      </w:r>
      <w:r>
        <w:rPr>
          <w:rFonts w:ascii="仿宋" w:eastAsia="仿宋"/>
        </w:rPr>
        <w:fldChar w:fldCharType="separate"/>
      </w:r>
      <w:r>
        <w:rPr>
          <w:rFonts w:ascii="仿宋_GB2312" w:eastAsia="仿宋_GB2312" w:cs="仿宋_GB2312" w:hint="eastAsia"/>
          <w:bCs w:val="0"/>
          <w:szCs w:val="28"/>
        </w:rPr>
        <w:t>九、</w:t>
      </w:r>
      <w:r>
        <w:rPr>
          <w:rFonts w:ascii="仿宋_GB2312" w:eastAsia="仿宋_GB2312" w:cs="仿宋_GB2312" w:hint="eastAsia"/>
          <w:szCs w:val="28"/>
        </w:rPr>
        <w:t>一</w:t>
      </w:r>
      <w:r>
        <w:rPr>
          <w:rFonts w:ascii="仿宋_GB2312" w:eastAsia="仿宋_GB2312" w:cs="仿宋_GB2312" w:hint="eastAsia"/>
          <w:bCs w:val="0"/>
          <w:szCs w:val="28"/>
        </w:rPr>
        <w:t>般公共预算财政拨款项目支出决算表</w:t>
      </w:r>
      <w:r>
        <w:tab/>
      </w:r>
      <w:r>
        <w:fldChar w:fldCharType="begin"/>
      </w:r>
      <w:r>
        <w:instrText xml:space="preserve"> PAGEREF _Toc20433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_Toc23149 </w:instrText>
      </w:r>
      <w:r>
        <w:rPr>
          <w:rFonts w:ascii="仿宋" w:eastAsia="仿宋"/>
        </w:rPr>
        <w:fldChar w:fldCharType="separate"/>
      </w:r>
      <w:r>
        <w:rPr>
          <w:rFonts w:ascii="仿宋_GB2312" w:eastAsia="仿宋_GB2312" w:cs="仿宋_GB2312" w:hint="eastAsia"/>
          <w:bCs w:val="0"/>
          <w:szCs w:val="28"/>
        </w:rPr>
        <w:t>十、</w:t>
      </w:r>
      <w:r>
        <w:rPr>
          <w:rFonts w:ascii="仿宋_GB2312" w:eastAsia="仿宋_GB2312" w:cs="仿宋_GB2312" w:hint="eastAsia"/>
          <w:szCs w:val="28"/>
        </w:rPr>
        <w:t>一</w:t>
      </w:r>
      <w:r>
        <w:rPr>
          <w:rFonts w:ascii="仿宋_GB2312" w:eastAsia="仿宋_GB2312" w:cs="仿宋_GB2312" w:hint="eastAsia"/>
          <w:bCs w:val="0"/>
          <w:szCs w:val="28"/>
        </w:rPr>
        <w:t>般公共预算财政拨款“三公”经费支出决算表</w:t>
      </w:r>
      <w:r>
        <w:tab/>
      </w:r>
      <w:r>
        <w:fldChar w:fldCharType="begin"/>
      </w:r>
      <w:r>
        <w:instrText xml:space="preserve"> PAGEREF _Toc23149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_Toc27443 </w:instrText>
      </w:r>
      <w:r>
        <w:rPr>
          <w:rFonts w:ascii="仿宋" w:eastAsia="仿宋"/>
        </w:rPr>
        <w:fldChar w:fldCharType="separate"/>
      </w:r>
      <w:r>
        <w:rPr>
          <w:rFonts w:ascii="仿宋_GB2312" w:eastAsia="仿宋_GB2312" w:cs="仿宋_GB2312" w:hint="eastAsia"/>
          <w:bCs w:val="0"/>
          <w:szCs w:val="28"/>
        </w:rPr>
        <w:t>十一、</w:t>
      </w:r>
      <w:r>
        <w:rPr>
          <w:rFonts w:ascii="仿宋_GB2312" w:eastAsia="仿宋_GB2312" w:cs="仿宋_GB2312" w:hint="eastAsia"/>
          <w:szCs w:val="28"/>
        </w:rPr>
        <w:t>政</w:t>
      </w:r>
      <w:r>
        <w:rPr>
          <w:rFonts w:ascii="仿宋_GB2312" w:eastAsia="仿宋_GB2312" w:cs="仿宋_GB2312" w:hint="eastAsia"/>
          <w:bCs w:val="0"/>
          <w:szCs w:val="28"/>
        </w:rPr>
        <w:t>府性基金预算财政拨款收入支出决算表</w:t>
      </w:r>
      <w:r>
        <w:tab/>
      </w:r>
      <w:r>
        <w:fldChar w:fldCharType="begin"/>
      </w:r>
      <w:r>
        <w:instrText xml:space="preserve"> PAGEREF _Toc27443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_Toc27910 </w:instrText>
      </w:r>
      <w:r>
        <w:rPr>
          <w:rFonts w:ascii="仿宋" w:eastAsia="仿宋"/>
        </w:rPr>
        <w:fldChar w:fldCharType="separate"/>
      </w:r>
      <w:r>
        <w:rPr>
          <w:rFonts w:ascii="仿宋_GB2312" w:eastAsia="仿宋_GB2312" w:cs="仿宋_GB2312" w:hint="eastAsia"/>
          <w:bCs w:val="0"/>
          <w:szCs w:val="28"/>
        </w:rPr>
        <w:t>十二、</w:t>
      </w:r>
      <w:r>
        <w:rPr>
          <w:rFonts w:ascii="仿宋_GB2312" w:eastAsia="仿宋_GB2312" w:cs="仿宋_GB2312" w:hint="eastAsia"/>
          <w:szCs w:val="28"/>
        </w:rPr>
        <w:t>政</w:t>
      </w:r>
      <w:r>
        <w:rPr>
          <w:rFonts w:ascii="仿宋_GB2312" w:eastAsia="仿宋_GB2312" w:cs="仿宋_GB2312" w:hint="eastAsia"/>
          <w:bCs w:val="0"/>
          <w:szCs w:val="28"/>
        </w:rPr>
        <w:t>府性基金预算财政拨款“三公”经费支出决算表</w:t>
      </w:r>
      <w:r>
        <w:tab/>
      </w:r>
      <w:r>
        <w:fldChar w:fldCharType="begin"/>
      </w:r>
      <w:r>
        <w:instrText xml:space="preserve"> PAGEREF _Toc27910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_Toc14668 </w:instrText>
      </w:r>
      <w:r>
        <w:rPr>
          <w:rFonts w:ascii="仿宋" w:eastAsia="仿宋"/>
        </w:rPr>
        <w:fldChar w:fldCharType="separate"/>
      </w:r>
      <w:r>
        <w:rPr>
          <w:rFonts w:ascii="仿宋_GB2312" w:eastAsia="仿宋_GB2312" w:cs="仿宋_GB2312" w:hint="eastAsia"/>
          <w:bCs w:val="0"/>
          <w:szCs w:val="28"/>
        </w:rPr>
        <w:t>十三、</w:t>
      </w:r>
      <w:r>
        <w:rPr>
          <w:rFonts w:ascii="仿宋_GB2312" w:eastAsia="仿宋_GB2312" w:cs="仿宋_GB2312" w:hint="eastAsia"/>
          <w:szCs w:val="28"/>
        </w:rPr>
        <w:t>国</w:t>
      </w:r>
      <w:r>
        <w:rPr>
          <w:rFonts w:ascii="仿宋_GB2312" w:eastAsia="仿宋_GB2312" w:cs="仿宋_GB2312" w:hint="eastAsia"/>
          <w:bCs w:val="0"/>
          <w:szCs w:val="28"/>
        </w:rPr>
        <w:t>有资本经营预算支出决算表</w:t>
      </w:r>
      <w:r>
        <w:tab/>
      </w:r>
      <w:r>
        <w:fldChar w:fldCharType="begin"/>
      </w:r>
      <w:r>
        <w:instrText xml:space="preserve"> PAGEREF _Toc14668 \h </w:instrText>
      </w:r>
      <w:r>
        <w:fldChar w:fldCharType="separate"/>
      </w:r>
      <w:r>
        <w:t>26</w:t>
      </w:r>
      <w:r>
        <w:fldChar w:fldCharType="end"/>
      </w:r>
      <w:r>
        <w:rPr>
          <w:rFonts w:ascii="仿宋" w:eastAsia="仿宋"/>
          <w:color w:val="auto"/>
        </w:rPr>
        <w:fldChar w:fldCharType="end"/>
      </w:r>
    </w:p>
    <w:p>
      <w:pPr>
        <w:pStyle w:val="20"/>
        <w:tabs>
          <w:tab w:val="clear" w:pos="8296"/>
          <w:tab w:val="right" w:leader="dot" w:pos="8306"/>
        </w:tabs>
      </w:pPr>
      <w:r>
        <w:rPr>
          <w:rFonts w:ascii="仿宋" w:eastAsia="仿宋"/>
        </w:rPr>
        <w:fldChar w:fldCharType="begin"/>
      </w:r>
      <w:r>
        <w:rPr>
          <w:rFonts w:ascii="仿宋" w:eastAsia="仿宋"/>
        </w:rPr>
        <w:instrText xml:space="preserve"> HYPERLINK \l _Toc21677 </w:instrText>
      </w:r>
      <w:r>
        <w:rPr>
          <w:rFonts w:ascii="仿宋" w:eastAsia="仿宋"/>
        </w:rPr>
        <w:fldChar w:fldCharType="separate"/>
      </w:r>
      <w:r>
        <w:rPr>
          <w:rFonts w:ascii="仿宋" w:eastAsia="仿宋" w:hint="eastAsia"/>
          <w:bCs/>
          <w:szCs w:val="28"/>
          <w:lang w:val="en-US" w:eastAsia="zh-CN" w:bidi="ar-SA"/>
        </w:rPr>
        <w:t>（见2020年决算公开表）</w:t>
      </w:r>
      <w:r>
        <w:tab/>
      </w:r>
      <w:r>
        <w:fldChar w:fldCharType="begin"/>
      </w:r>
      <w:r>
        <w:instrText xml:space="preserve"> PAGEREF _Toc21677 \h </w:instrText>
      </w:r>
      <w:r>
        <w:fldChar w:fldCharType="separate"/>
      </w:r>
      <w:r>
        <w:t>26</w:t>
      </w:r>
      <w:r>
        <w:fldChar w:fldCharType="end"/>
      </w:r>
      <w:r>
        <w:rPr>
          <w:rFonts w:ascii="仿宋" w:eastAsia="仿宋"/>
          <w:color w:val="auto"/>
        </w:rPr>
        <w:fldChar w:fldCharType="end"/>
      </w:r>
    </w:p>
    <w:p>
      <w:pPr>
        <w:widowControl/>
        <w:jc w:val="left"/>
        <w:rPr>
          <w:rFonts w:ascii="仿宋" w:eastAsia="仿宋"/>
          <w:color w:val="auto"/>
          <w:sz w:val="24"/>
        </w:rPr>
      </w:pPr>
      <w:r>
        <w:rPr>
          <w:rFonts w:ascii="仿宋" w:eastAsia="仿宋"/>
          <w:color w:val="auto"/>
        </w:rPr>
        <w:fldChar w:fldCharType="end"/>
      </w:r>
    </w:p>
    <w:p>
      <w:pPr>
        <w:widowControl/>
        <w:jc w:val="left"/>
        <w:rPr>
          <w:rFonts w:ascii="黑体" w:eastAsia="黑体"/>
          <w:bCs/>
          <w:color w:val="auto"/>
          <w:kern w:val="44"/>
          <w:sz w:val="44"/>
          <w:szCs w:val="44"/>
        </w:rPr>
      </w:pPr>
      <w:bookmarkStart w:id="16" w:name="_Toc15377196"/>
      <w:r>
        <w:rPr>
          <w:rFonts w:ascii="黑体" w:eastAsia="黑体"/>
          <w:b/>
          <w:color w:val="auto"/>
        </w:rPr>
        <w:br w:type="page"/>
      </w:r>
    </w:p>
    <w:p>
      <w:pPr>
        <w:pStyle w:val="1"/>
        <w:jc w:val="center"/>
        <w:rPr>
          <w:rFonts w:ascii="仿宋_GB2312" w:eastAsia="仿宋_GB2312" w:cs="仿宋_GB2312" w:hint="eastAsia"/>
          <w:color w:val="auto"/>
          <w:sz w:val="28"/>
          <w:szCs w:val="28"/>
        </w:rPr>
      </w:pPr>
      <w:bookmarkStart w:id="17" w:name="_Toc13208"/>
      <w:r>
        <w:rPr>
          <w:rFonts w:ascii="仿宋_GB2312" w:eastAsia="仿宋_GB2312" w:cs="仿宋_GB2312" w:hint="eastAsia"/>
          <w:b w:val="0"/>
          <w:color w:val="auto"/>
          <w:sz w:val="28"/>
          <w:szCs w:val="28"/>
        </w:rPr>
        <w:t xml:space="preserve">第一部分 </w:t>
      </w:r>
      <w:r>
        <w:rPr>
          <w:rStyle w:val="1Char"/>
          <w:rFonts w:ascii="仿宋_GB2312" w:eastAsia="仿宋_GB2312" w:cs="仿宋_GB2312" w:hint="eastAsia"/>
          <w:b w:val="0"/>
          <w:bCs w:val="0"/>
          <w:color w:val="auto"/>
          <w:sz w:val="28"/>
          <w:szCs w:val="28"/>
        </w:rPr>
        <w:t>部门概况</w:t>
      </w:r>
      <w:bookmarkEnd w:id="16"/>
      <w:bookmarkEnd w:id="17"/>
    </w:p>
    <w:p>
      <w:pPr>
        <w:pStyle w:val="2"/>
        <w:rPr>
          <w:rStyle w:val="2Char"/>
          <w:rFonts w:ascii="仿宋_GB2312" w:eastAsia="仿宋_GB2312" w:cs="仿宋_GB2312" w:hint="eastAsia"/>
          <w:b w:val="0"/>
          <w:bCs w:val="0"/>
          <w:color w:val="auto"/>
          <w:kern w:val="2"/>
          <w:sz w:val="28"/>
          <w:szCs w:val="28"/>
          <w:lang w:val="en-US" w:eastAsia="zh-CN" w:bidi="ar-SA"/>
        </w:rPr>
      </w:pPr>
      <w:bookmarkStart w:id="18" w:name="_Toc15377197"/>
      <w:bookmarkStart w:id="19" w:name="_Toc27386"/>
      <w:r>
        <w:rPr>
          <w:rStyle w:val="2Char"/>
          <w:rFonts w:ascii="仿宋_GB2312" w:eastAsia="仿宋_GB2312" w:cs="仿宋_GB2312" w:hint="eastAsia"/>
          <w:b w:val="0"/>
          <w:bCs w:val="0"/>
          <w:color w:val="auto"/>
          <w:kern w:val="2"/>
          <w:sz w:val="28"/>
          <w:szCs w:val="28"/>
          <w:lang w:val="en-US" w:eastAsia="zh-CN" w:bidi="ar-SA"/>
        </w:rPr>
        <w:t>一、基本职能及主要工作</w:t>
      </w:r>
      <w:bookmarkEnd w:id="18"/>
      <w:bookmarkEnd w:id="19"/>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bookmarkStart w:id="20" w:name="_Toc15378445"/>
      <w:bookmarkStart w:id="21" w:name="_Toc15377198"/>
      <w:bookmarkStart w:id="22" w:name="_Toc9573"/>
      <w:bookmarkStart w:id="23" w:name="_Toc15377204"/>
      <w:r>
        <w:rPr>
          <w:rStyle w:val="2Char"/>
          <w:rFonts w:ascii="仿宋_GB2312" w:eastAsia="仿宋_GB2312" w:cs="仿宋_GB2312" w:hint="eastAsia"/>
          <w:b w:val="0"/>
          <w:bCs w:val="0"/>
          <w:color w:val="auto"/>
          <w:kern w:val="2"/>
          <w:sz w:val="28"/>
          <w:szCs w:val="28"/>
          <w:lang w:val="en-US" w:eastAsia="zh-CN" w:bidi="ar-SA"/>
        </w:rPr>
        <w:t>（一）主要职能。</w:t>
      </w:r>
      <w:bookmarkStart w:id="24" w:name="_Toc15378446"/>
      <w:bookmarkStart w:id="25" w:name="_Toc15377199"/>
      <w:bookmarkEnd w:id="20"/>
      <w:bookmarkEnd w:id="21"/>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bookmarkStart w:id="26" w:name="_Toc7264"/>
      <w:bookmarkEnd w:id="22"/>
      <w:r>
        <w:rPr>
          <w:rStyle w:val="2Char"/>
          <w:rFonts w:ascii="仿宋_GB2312" w:eastAsia="仿宋_GB2312" w:cs="仿宋_GB2312" w:hint="eastAsia"/>
          <w:b w:val="0"/>
          <w:bCs w:val="0"/>
          <w:color w:val="auto"/>
          <w:kern w:val="2"/>
          <w:sz w:val="28"/>
          <w:szCs w:val="28"/>
          <w:lang w:val="en-US" w:eastAsia="zh-CN" w:bidi="ar-SA"/>
        </w:rPr>
        <w:t>汶川县信访接待中心是汶川县信访局下设的副科级公益一类事业单位。根据（汶编办〔</w:t>
      </w:r>
      <w:r>
        <w:rPr>
          <w:rStyle w:val="2Char"/>
          <w:rFonts w:cs="仿宋_GB2312" w:hint="eastAsia"/>
          <w:b w:val="0"/>
          <w:bCs w:val="0"/>
          <w:color w:val="auto"/>
          <w:kern w:val="2"/>
          <w:sz w:val="28"/>
          <w:szCs w:val="28"/>
          <w:lang w:val="en-US" w:eastAsia="zh-CN" w:bidi="ar-SA"/>
        </w:rPr>
        <w:t>2020</w:t>
      </w:r>
      <w:r>
        <w:rPr>
          <w:rStyle w:val="2Char"/>
          <w:rFonts w:ascii="仿宋_GB2312" w:eastAsia="仿宋_GB2312" w:cs="仿宋_GB2312" w:hint="eastAsia"/>
          <w:b w:val="0"/>
          <w:bCs w:val="0"/>
          <w:color w:val="auto"/>
          <w:kern w:val="2"/>
          <w:sz w:val="28"/>
          <w:szCs w:val="28"/>
          <w:lang w:val="en-US" w:eastAsia="zh-CN" w:bidi="ar-SA"/>
        </w:rPr>
        <w:t>〕34号）文件和（汶编发〔</w:t>
      </w:r>
      <w:r>
        <w:rPr>
          <w:rStyle w:val="2Char"/>
          <w:rFonts w:cs="仿宋_GB2312" w:hint="eastAsia"/>
          <w:b w:val="0"/>
          <w:bCs w:val="0"/>
          <w:color w:val="auto"/>
          <w:kern w:val="2"/>
          <w:sz w:val="28"/>
          <w:szCs w:val="28"/>
          <w:lang w:val="en-US" w:eastAsia="zh-CN" w:bidi="ar-SA"/>
        </w:rPr>
        <w:t>2020</w:t>
      </w:r>
      <w:r>
        <w:rPr>
          <w:rStyle w:val="2Char"/>
          <w:rFonts w:ascii="仿宋_GB2312" w:eastAsia="仿宋_GB2312" w:cs="仿宋_GB2312" w:hint="eastAsia"/>
          <w:b w:val="0"/>
          <w:bCs w:val="0"/>
          <w:color w:val="auto"/>
          <w:kern w:val="2"/>
          <w:sz w:val="28"/>
          <w:szCs w:val="28"/>
          <w:lang w:val="en-US" w:eastAsia="zh-CN" w:bidi="ar-SA"/>
        </w:rPr>
        <w:t>〕49号）文件规定。1.负责接待到县委、县政府的群众来访，协调处理群众集体上访和有关突发信访事件。2.督促有关部门及时受理、高效办理群众的信访事项。3.建立县级领导班子定期参与接待群众来访的长效机制，协调工青妇等群团组织和其他社会组织参与信访和群众工作。4.负责县委县政府领导接访的日常工作和案件跟踪落实。5.负责整理报送群众来访情况，综合分析，及时准确反映群众来访中的重要情况和重要建议。6.负责网上信访工作及信访信息化建设工作。</w:t>
      </w:r>
      <w:r>
        <w:rPr>
          <w:rStyle w:val="2Char"/>
          <w:rFonts w:ascii="仿宋_GB2312" w:eastAsia="仿宋_GB2312" w:cs="仿宋_GB2312" w:hint="eastAsia"/>
          <w:b/>
          <w:bCs/>
          <w:color w:val="auto"/>
          <w:kern w:val="2"/>
          <w:sz w:val="28"/>
          <w:szCs w:val="28"/>
          <w:lang w:val="en-US" w:eastAsia="zh-CN" w:bidi="ar-SA"/>
        </w:rPr>
        <w:t>主要工作任务</w:t>
      </w:r>
      <w:r>
        <w:rPr>
          <w:rStyle w:val="2Char"/>
          <w:rFonts w:cs="仿宋_GB2312" w:hint="eastAsia"/>
          <w:b/>
          <w:bCs/>
          <w:color w:val="auto"/>
          <w:kern w:val="2"/>
          <w:sz w:val="28"/>
          <w:szCs w:val="28"/>
          <w:lang w:val="en-US" w:eastAsia="zh-CN" w:bidi="ar-SA"/>
        </w:rPr>
        <w:t>：</w:t>
      </w:r>
      <w:r>
        <w:rPr>
          <w:rStyle w:val="2Char"/>
          <w:rFonts w:ascii="仿宋_GB2312" w:eastAsia="仿宋_GB2312" w:cs="仿宋_GB2312" w:hint="eastAsia"/>
          <w:b w:val="0"/>
          <w:bCs w:val="0"/>
          <w:color w:val="auto"/>
          <w:kern w:val="2"/>
          <w:sz w:val="28"/>
          <w:szCs w:val="28"/>
          <w:lang w:val="en-US" w:eastAsia="zh-CN" w:bidi="ar-SA"/>
        </w:rPr>
        <w:t>县信访接待中心将认真按照职能职责做好群众到县来访工作，处理群众集体上访和有关突发信访事件。协调好县委县政府领导接访的日常工作和案件跟踪落实。做好网上信访工作，提高信访信息系统、网络投诉平台应用率，高效办理群众的信访事项。做好视频接访系统日常维护，保证群众就地远程反映诉求和国家、省、州、县开展视频培训工作。</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b/>
          <w:bCs/>
          <w:color w:val="auto"/>
          <w:sz w:val="28"/>
          <w:szCs w:val="28"/>
          <w:lang w:eastAsia="zh-CN"/>
        </w:rPr>
      </w:pPr>
      <w:bookmarkEnd w:id="26"/>
      <w:r>
        <w:rPr>
          <w:rFonts w:ascii="仿宋_GB2312" w:eastAsia="仿宋_GB2312" w:hint="eastAsia"/>
          <w:b/>
          <w:bCs/>
          <w:color w:val="auto"/>
          <w:sz w:val="28"/>
          <w:szCs w:val="28"/>
          <w:lang w:eastAsia="zh-CN"/>
        </w:rPr>
        <w:t>（二）</w:t>
      </w:r>
      <w:r>
        <w:rPr>
          <w:rFonts w:hint="eastAsia"/>
          <w:b/>
          <w:bCs/>
          <w:color w:val="auto"/>
          <w:sz w:val="28"/>
          <w:szCs w:val="28"/>
          <w:lang w:eastAsia="zh-CN"/>
        </w:rPr>
        <w:t>2020</w:t>
      </w:r>
      <w:r>
        <w:rPr>
          <w:rFonts w:ascii="仿宋_GB2312" w:eastAsia="仿宋_GB2312" w:hint="eastAsia"/>
          <w:b/>
          <w:bCs/>
          <w:color w:val="auto"/>
          <w:sz w:val="28"/>
          <w:szCs w:val="28"/>
          <w:lang w:eastAsia="zh-CN"/>
        </w:rPr>
        <w:t>年重点工作完成情况。</w:t>
      </w:r>
      <w:bookmarkEnd w:id="24"/>
      <w:bookmarkEnd w:id="25"/>
    </w:p>
    <w:p>
      <w:pPr>
        <w:spacing w:line="554" w:lineRule="exact"/>
        <w:ind w:firstLineChars="200" w:firstLine="560"/>
        <w:rPr>
          <w:rFonts w:ascii="仿宋_GB2312" w:eastAsia="仿宋_GB2312" w:cs="仿宋_GB2312" w:hint="eastAsia"/>
          <w:sz w:val="28"/>
          <w:szCs w:val="28"/>
        </w:rPr>
      </w:pPr>
      <w:r>
        <w:rPr>
          <w:rFonts w:ascii="仿宋_GB2312" w:eastAsia="仿宋_GB2312" w:cs="仿宋_GB2312" w:hint="eastAsia"/>
          <w:b/>
          <w:bCs/>
          <w:sz w:val="28"/>
          <w:szCs w:val="28"/>
          <w:lang w:val="en-US" w:eastAsia="zh-CN"/>
        </w:rPr>
        <w:t>1.信访基本情况：</w:t>
      </w:r>
      <w:r>
        <w:rPr>
          <w:rFonts w:ascii="仿宋_GB2312" w:eastAsia="仿宋_GB2312" w:cs="仿宋_GB2312" w:hint="eastAsia"/>
          <w:b/>
          <w:bCs/>
          <w:sz w:val="28"/>
          <w:szCs w:val="28"/>
        </w:rPr>
        <w:t>信访总量上升。</w:t>
      </w:r>
      <w:r>
        <w:rPr>
          <w:rFonts w:ascii="仿宋_GB2312" w:eastAsia="仿宋_GB2312" w:cs="仿宋_GB2312" w:hint="eastAsia"/>
          <w:sz w:val="28"/>
          <w:szCs w:val="28"/>
        </w:rPr>
        <w:t>全县信访总量</w:t>
      </w:r>
      <w:r>
        <w:rPr>
          <w:rFonts w:ascii="仿宋_GB2312" w:eastAsia="仿宋_GB2312" w:cs="仿宋_GB2312" w:hint="eastAsia"/>
          <w:sz w:val="28"/>
          <w:szCs w:val="28"/>
          <w:lang w:val="en-US" w:eastAsia="zh-CN"/>
        </w:rPr>
        <w:t>270</w:t>
      </w:r>
      <w:r>
        <w:rPr>
          <w:rFonts w:ascii="仿宋_GB2312" w:eastAsia="仿宋_GB2312" w:cs="仿宋_GB2312" w:hint="eastAsia"/>
          <w:sz w:val="28"/>
          <w:szCs w:val="28"/>
        </w:rPr>
        <w:t>件（次），同比增加</w:t>
      </w:r>
      <w:r>
        <w:rPr>
          <w:rFonts w:ascii="仿宋_GB2312" w:eastAsia="仿宋_GB2312" w:cs="仿宋_GB2312" w:hint="eastAsia"/>
          <w:sz w:val="28"/>
          <w:szCs w:val="28"/>
          <w:lang w:val="en-US" w:eastAsia="zh-CN"/>
        </w:rPr>
        <w:t>28</w:t>
      </w:r>
      <w:r>
        <w:rPr>
          <w:rFonts w:ascii="仿宋_GB2312" w:eastAsia="仿宋_GB2312" w:cs="仿宋_GB2312" w:hint="eastAsia"/>
          <w:sz w:val="28"/>
          <w:szCs w:val="28"/>
        </w:rPr>
        <w:t>件（次），上升</w:t>
      </w:r>
      <w:r>
        <w:rPr>
          <w:rFonts w:ascii="仿宋_GB2312" w:eastAsia="仿宋_GB2312" w:cs="仿宋_GB2312" w:hint="eastAsia"/>
          <w:sz w:val="28"/>
          <w:szCs w:val="28"/>
          <w:lang w:val="en-US" w:eastAsia="zh-CN"/>
        </w:rPr>
        <w:t>9.4</w:t>
      </w:r>
      <w:r>
        <w:rPr>
          <w:rFonts w:ascii="仿宋_GB2312" w:eastAsia="仿宋_GB2312" w:cs="仿宋_GB2312" w:hint="eastAsia"/>
          <w:sz w:val="28"/>
          <w:szCs w:val="28"/>
        </w:rPr>
        <w:t>%。</w:t>
      </w:r>
      <w:r>
        <w:rPr>
          <w:rFonts w:ascii="仿宋_GB2312" w:eastAsia="仿宋_GB2312" w:cs="仿宋_GB2312" w:hint="eastAsia"/>
          <w:b/>
          <w:bCs/>
          <w:sz w:val="28"/>
          <w:szCs w:val="28"/>
        </w:rPr>
        <w:t>来信量下降。</w:t>
      </w:r>
      <w:r>
        <w:rPr>
          <w:rFonts w:ascii="仿宋_GB2312" w:eastAsia="仿宋_GB2312" w:cs="仿宋_GB2312" w:hint="eastAsia"/>
          <w:sz w:val="28"/>
          <w:szCs w:val="28"/>
        </w:rPr>
        <w:t>群众来信量减少，全县共收到群众来信</w:t>
      </w:r>
      <w:r>
        <w:rPr>
          <w:rFonts w:ascii="仿宋_GB2312" w:eastAsia="仿宋_GB2312" w:cs="仿宋_GB2312" w:hint="eastAsia"/>
          <w:sz w:val="28"/>
          <w:szCs w:val="28"/>
          <w:lang w:val="en-US" w:eastAsia="zh-CN"/>
        </w:rPr>
        <w:t>16</w:t>
      </w:r>
      <w:r>
        <w:rPr>
          <w:rFonts w:ascii="仿宋_GB2312" w:eastAsia="仿宋_GB2312" w:cs="仿宋_GB2312" w:hint="eastAsia"/>
          <w:sz w:val="28"/>
          <w:szCs w:val="28"/>
        </w:rPr>
        <w:t>件, 办结回复</w:t>
      </w:r>
      <w:r>
        <w:rPr>
          <w:rFonts w:ascii="仿宋_GB2312" w:eastAsia="仿宋_GB2312" w:cs="仿宋_GB2312" w:hint="eastAsia"/>
          <w:sz w:val="28"/>
          <w:szCs w:val="28"/>
          <w:lang w:val="en-US" w:eastAsia="zh-CN"/>
        </w:rPr>
        <w:t>16</w:t>
      </w:r>
      <w:r>
        <w:rPr>
          <w:rFonts w:ascii="仿宋_GB2312" w:eastAsia="仿宋_GB2312" w:cs="仿宋_GB2312" w:hint="eastAsia"/>
          <w:sz w:val="28"/>
          <w:szCs w:val="28"/>
        </w:rPr>
        <w:t>件，办结率</w:t>
      </w:r>
      <w:r>
        <w:rPr>
          <w:rFonts w:ascii="仿宋_GB2312" w:eastAsia="仿宋_GB2312" w:cs="仿宋_GB2312" w:hint="eastAsia"/>
          <w:sz w:val="28"/>
          <w:szCs w:val="28"/>
          <w:lang w:val="en-US" w:eastAsia="zh-CN"/>
        </w:rPr>
        <w:t>100</w:t>
      </w:r>
      <w:r>
        <w:rPr>
          <w:rFonts w:ascii="仿宋_GB2312" w:eastAsia="仿宋_GB2312" w:cs="仿宋_GB2312" w:hint="eastAsia"/>
          <w:sz w:val="28"/>
          <w:szCs w:val="28"/>
        </w:rPr>
        <w:t>%；同比减少</w:t>
      </w:r>
      <w:r>
        <w:rPr>
          <w:rFonts w:ascii="仿宋_GB2312" w:eastAsia="仿宋_GB2312" w:cs="仿宋_GB2312" w:hint="eastAsia"/>
          <w:sz w:val="28"/>
          <w:szCs w:val="28"/>
          <w:lang w:val="en-US" w:eastAsia="zh-CN"/>
        </w:rPr>
        <w:t>4</w:t>
      </w:r>
      <w:r>
        <w:rPr>
          <w:rFonts w:ascii="仿宋_GB2312" w:eastAsia="仿宋_GB2312" w:cs="仿宋_GB2312" w:hint="eastAsia"/>
          <w:sz w:val="28"/>
          <w:szCs w:val="28"/>
        </w:rPr>
        <w:t>件，下降</w:t>
      </w:r>
      <w:r>
        <w:rPr>
          <w:rFonts w:ascii="仿宋_GB2312" w:eastAsia="仿宋_GB2312" w:cs="仿宋_GB2312" w:hint="eastAsia"/>
          <w:sz w:val="28"/>
          <w:szCs w:val="28"/>
          <w:lang w:val="en-US" w:eastAsia="zh-CN"/>
        </w:rPr>
        <w:t>20</w:t>
      </w:r>
      <w:r>
        <w:rPr>
          <w:rFonts w:ascii="仿宋_GB2312" w:eastAsia="仿宋_GB2312" w:cs="仿宋_GB2312" w:hint="eastAsia"/>
          <w:sz w:val="28"/>
          <w:szCs w:val="28"/>
        </w:rPr>
        <w:t>%。</w:t>
      </w:r>
      <w:r>
        <w:rPr>
          <w:rFonts w:ascii="仿宋_GB2312" w:eastAsia="仿宋_GB2312" w:cs="仿宋_GB2312" w:hint="eastAsia"/>
          <w:b/>
          <w:bCs/>
          <w:sz w:val="28"/>
          <w:szCs w:val="28"/>
        </w:rPr>
        <w:t>走访量上升。</w:t>
      </w:r>
      <w:r>
        <w:rPr>
          <w:rFonts w:ascii="仿宋_GB2312" w:eastAsia="仿宋_GB2312" w:cs="仿宋_GB2312" w:hint="eastAsia"/>
          <w:sz w:val="28"/>
          <w:szCs w:val="28"/>
        </w:rPr>
        <w:t>群众走访</w:t>
      </w:r>
      <w:r>
        <w:rPr>
          <w:rFonts w:ascii="仿宋_GB2312" w:eastAsia="仿宋_GB2312" w:cs="仿宋_GB2312" w:hint="eastAsia"/>
          <w:sz w:val="28"/>
          <w:szCs w:val="28"/>
          <w:lang w:eastAsia="zh-CN"/>
        </w:rPr>
        <w:t>减少</w:t>
      </w:r>
      <w:r>
        <w:rPr>
          <w:rFonts w:ascii="仿宋_GB2312" w:eastAsia="仿宋_GB2312" w:cs="仿宋_GB2312" w:hint="eastAsia"/>
          <w:sz w:val="28"/>
          <w:szCs w:val="28"/>
        </w:rPr>
        <w:t>，全县接待群众来访</w:t>
      </w:r>
      <w:r>
        <w:rPr>
          <w:rFonts w:ascii="仿宋_GB2312" w:eastAsia="仿宋_GB2312" w:cs="仿宋_GB2312" w:hint="eastAsia"/>
          <w:sz w:val="28"/>
          <w:szCs w:val="28"/>
          <w:lang w:val="en-US" w:eastAsia="zh-CN"/>
        </w:rPr>
        <w:t>66</w:t>
      </w:r>
      <w:r>
        <w:rPr>
          <w:rFonts w:ascii="仿宋_GB2312" w:eastAsia="仿宋_GB2312" w:cs="仿宋_GB2312" w:hint="eastAsia"/>
          <w:sz w:val="28"/>
          <w:szCs w:val="28"/>
        </w:rPr>
        <w:t>批</w:t>
      </w:r>
      <w:r>
        <w:rPr>
          <w:rFonts w:ascii="仿宋_GB2312" w:eastAsia="仿宋_GB2312" w:cs="仿宋_GB2312" w:hint="eastAsia"/>
          <w:sz w:val="28"/>
          <w:szCs w:val="28"/>
          <w:lang w:val="en-US" w:eastAsia="zh-CN"/>
        </w:rPr>
        <w:t>466</w:t>
      </w:r>
      <w:r>
        <w:rPr>
          <w:rFonts w:ascii="仿宋_GB2312" w:eastAsia="仿宋_GB2312" w:cs="仿宋_GB2312" w:hint="eastAsia"/>
          <w:sz w:val="28"/>
          <w:szCs w:val="28"/>
        </w:rPr>
        <w:t>人次</w:t>
      </w:r>
      <w:r>
        <w:rPr>
          <w:rFonts w:ascii="仿宋_GB2312" w:eastAsia="仿宋_GB2312" w:cs="仿宋_GB2312" w:hint="eastAsia"/>
          <w:sz w:val="28"/>
          <w:szCs w:val="28"/>
          <w:lang w:eastAsia="zh-CN"/>
        </w:rPr>
        <w:t>，</w:t>
      </w:r>
      <w:r>
        <w:rPr>
          <w:rFonts w:ascii="仿宋_GB2312" w:eastAsia="仿宋_GB2312" w:cs="仿宋_GB2312" w:hint="eastAsia"/>
          <w:sz w:val="28"/>
          <w:szCs w:val="28"/>
        </w:rPr>
        <w:t>同比</w:t>
      </w:r>
      <w:r>
        <w:rPr>
          <w:rFonts w:ascii="仿宋_GB2312" w:eastAsia="仿宋_GB2312" w:cs="仿宋_GB2312" w:hint="eastAsia"/>
          <w:sz w:val="28"/>
          <w:szCs w:val="28"/>
          <w:lang w:eastAsia="zh-CN"/>
        </w:rPr>
        <w:t>减少</w:t>
      </w:r>
      <w:r>
        <w:rPr>
          <w:rFonts w:ascii="仿宋_GB2312" w:eastAsia="仿宋_GB2312" w:cs="仿宋_GB2312" w:hint="eastAsia"/>
          <w:sz w:val="28"/>
          <w:szCs w:val="28"/>
          <w:lang w:val="en-US" w:eastAsia="zh-CN"/>
        </w:rPr>
        <w:t>21批105</w:t>
      </w:r>
      <w:r>
        <w:rPr>
          <w:rFonts w:ascii="仿宋_GB2312" w:eastAsia="仿宋_GB2312" w:cs="仿宋_GB2312" w:hint="eastAsia"/>
          <w:sz w:val="28"/>
          <w:szCs w:val="28"/>
        </w:rPr>
        <w:t>人次，分别</w:t>
      </w:r>
      <w:r>
        <w:rPr>
          <w:rFonts w:ascii="仿宋_GB2312" w:eastAsia="仿宋_GB2312" w:cs="仿宋_GB2312" w:hint="eastAsia"/>
          <w:sz w:val="28"/>
          <w:szCs w:val="28"/>
          <w:lang w:eastAsia="zh-CN"/>
        </w:rPr>
        <w:t>下降</w:t>
      </w:r>
      <w:r>
        <w:rPr>
          <w:rFonts w:ascii="仿宋_GB2312" w:eastAsia="仿宋_GB2312" w:cs="仿宋_GB2312" w:hint="eastAsia"/>
          <w:sz w:val="28"/>
          <w:szCs w:val="28"/>
          <w:lang w:val="en-US" w:eastAsia="zh-CN"/>
        </w:rPr>
        <w:t>21.4%</w:t>
      </w:r>
      <w:r>
        <w:rPr>
          <w:rFonts w:ascii="仿宋_GB2312" w:eastAsia="仿宋_GB2312" w:cs="仿宋_GB2312" w:hint="eastAsia"/>
          <w:sz w:val="28"/>
          <w:szCs w:val="28"/>
        </w:rPr>
        <w:t>和</w:t>
      </w:r>
      <w:r>
        <w:rPr>
          <w:rFonts w:ascii="仿宋_GB2312" w:eastAsia="仿宋_GB2312" w:cs="仿宋_GB2312" w:hint="eastAsia"/>
          <w:sz w:val="28"/>
          <w:szCs w:val="28"/>
          <w:lang w:val="en-US" w:eastAsia="zh-CN"/>
        </w:rPr>
        <w:t>18.4</w:t>
      </w:r>
      <w:r>
        <w:rPr>
          <w:rFonts w:ascii="仿宋_GB2312" w:eastAsia="仿宋_GB2312" w:cs="仿宋_GB2312" w:hint="eastAsia"/>
          <w:sz w:val="28"/>
          <w:szCs w:val="28"/>
        </w:rPr>
        <w:t>%。其中:集体访</w:t>
      </w:r>
      <w:r>
        <w:rPr>
          <w:rFonts w:ascii="仿宋_GB2312" w:eastAsia="仿宋_GB2312" w:cs="仿宋_GB2312" w:hint="eastAsia"/>
          <w:sz w:val="28"/>
          <w:szCs w:val="28"/>
          <w:lang w:val="en-US" w:eastAsia="zh-CN"/>
        </w:rPr>
        <w:t>29</w:t>
      </w:r>
      <w:r>
        <w:rPr>
          <w:rFonts w:ascii="仿宋_GB2312" w:eastAsia="仿宋_GB2312" w:cs="仿宋_GB2312" w:hint="eastAsia"/>
          <w:sz w:val="28"/>
          <w:szCs w:val="28"/>
        </w:rPr>
        <w:t>批</w:t>
      </w:r>
      <w:r>
        <w:rPr>
          <w:rFonts w:ascii="仿宋_GB2312" w:eastAsia="仿宋_GB2312" w:cs="仿宋_GB2312" w:hint="eastAsia"/>
          <w:sz w:val="28"/>
          <w:szCs w:val="28"/>
          <w:lang w:val="en-US" w:eastAsia="zh-CN"/>
        </w:rPr>
        <w:t>389</w:t>
      </w:r>
      <w:r>
        <w:rPr>
          <w:rFonts w:ascii="仿宋_GB2312" w:eastAsia="仿宋_GB2312" w:cs="仿宋_GB2312" w:hint="eastAsia"/>
          <w:sz w:val="28"/>
          <w:szCs w:val="28"/>
        </w:rPr>
        <w:t>人次，占整个接访批次和人次的</w:t>
      </w:r>
      <w:r>
        <w:rPr>
          <w:rFonts w:ascii="仿宋_GB2312" w:eastAsia="仿宋_GB2312" w:cs="仿宋_GB2312" w:hint="eastAsia"/>
          <w:sz w:val="28"/>
          <w:szCs w:val="28"/>
          <w:lang w:val="en-US" w:eastAsia="zh-CN"/>
        </w:rPr>
        <w:t>43.9</w:t>
      </w:r>
      <w:r>
        <w:rPr>
          <w:rFonts w:ascii="仿宋_GB2312" w:eastAsia="仿宋_GB2312" w:cs="仿宋_GB2312" w:hint="eastAsia"/>
          <w:sz w:val="28"/>
          <w:szCs w:val="28"/>
        </w:rPr>
        <w:t>%和</w:t>
      </w:r>
      <w:r>
        <w:rPr>
          <w:rFonts w:ascii="仿宋_GB2312" w:eastAsia="仿宋_GB2312" w:cs="仿宋_GB2312" w:hint="eastAsia"/>
          <w:sz w:val="28"/>
          <w:szCs w:val="28"/>
          <w:lang w:val="en-US" w:eastAsia="zh-CN"/>
        </w:rPr>
        <w:t>83.5</w:t>
      </w:r>
      <w:r>
        <w:rPr>
          <w:rFonts w:ascii="仿宋_GB2312" w:eastAsia="仿宋_GB2312" w:cs="仿宋_GB2312" w:hint="eastAsia"/>
          <w:sz w:val="28"/>
          <w:szCs w:val="28"/>
        </w:rPr>
        <w:t>%，同比</w:t>
      </w:r>
      <w:r>
        <w:rPr>
          <w:rFonts w:ascii="仿宋_GB2312" w:eastAsia="仿宋_GB2312" w:cs="仿宋_GB2312" w:hint="eastAsia"/>
          <w:sz w:val="28"/>
          <w:szCs w:val="28"/>
          <w:lang w:eastAsia="zh-CN"/>
        </w:rPr>
        <w:t>减少</w:t>
      </w:r>
      <w:r>
        <w:rPr>
          <w:rFonts w:ascii="仿宋_GB2312" w:eastAsia="仿宋_GB2312" w:cs="仿宋_GB2312" w:hint="eastAsia"/>
          <w:sz w:val="28"/>
          <w:szCs w:val="28"/>
          <w:lang w:val="en-US" w:eastAsia="zh-CN"/>
        </w:rPr>
        <w:t>15</w:t>
      </w:r>
      <w:r>
        <w:rPr>
          <w:rFonts w:ascii="仿宋_GB2312" w:eastAsia="仿宋_GB2312" w:cs="仿宋_GB2312" w:hint="eastAsia"/>
          <w:sz w:val="28"/>
          <w:szCs w:val="28"/>
        </w:rPr>
        <w:t>批</w:t>
      </w:r>
      <w:r>
        <w:rPr>
          <w:rFonts w:ascii="仿宋_GB2312" w:eastAsia="仿宋_GB2312" w:cs="仿宋_GB2312" w:hint="eastAsia"/>
          <w:sz w:val="28"/>
          <w:szCs w:val="28"/>
          <w:lang w:val="en-US" w:eastAsia="zh-CN"/>
        </w:rPr>
        <w:t>128</w:t>
      </w:r>
      <w:r>
        <w:rPr>
          <w:rFonts w:ascii="仿宋_GB2312" w:eastAsia="仿宋_GB2312" w:cs="仿宋_GB2312" w:hint="eastAsia"/>
          <w:sz w:val="28"/>
          <w:szCs w:val="28"/>
        </w:rPr>
        <w:t>人次，分别</w:t>
      </w:r>
      <w:r>
        <w:rPr>
          <w:rFonts w:ascii="仿宋_GB2312" w:eastAsia="仿宋_GB2312" w:cs="仿宋_GB2312" w:hint="eastAsia"/>
          <w:sz w:val="28"/>
          <w:szCs w:val="28"/>
          <w:lang w:eastAsia="zh-CN"/>
        </w:rPr>
        <w:t>下降</w:t>
      </w:r>
      <w:r>
        <w:rPr>
          <w:rFonts w:ascii="仿宋_GB2312" w:eastAsia="仿宋_GB2312" w:cs="仿宋_GB2312" w:hint="eastAsia"/>
          <w:sz w:val="28"/>
          <w:szCs w:val="28"/>
          <w:lang w:val="en-US" w:eastAsia="zh-CN"/>
        </w:rPr>
        <w:t>31.4</w:t>
      </w:r>
      <w:r>
        <w:rPr>
          <w:rFonts w:ascii="仿宋_GB2312" w:eastAsia="仿宋_GB2312" w:cs="仿宋_GB2312" w:hint="eastAsia"/>
          <w:sz w:val="28"/>
          <w:szCs w:val="28"/>
        </w:rPr>
        <w:t>%和</w:t>
      </w:r>
      <w:r>
        <w:rPr>
          <w:rFonts w:ascii="仿宋_GB2312" w:eastAsia="仿宋_GB2312" w:cs="仿宋_GB2312" w:hint="eastAsia"/>
          <w:sz w:val="28"/>
          <w:szCs w:val="28"/>
          <w:lang w:val="en-US" w:eastAsia="zh-CN"/>
        </w:rPr>
        <w:t>24.8</w:t>
      </w:r>
      <w:r>
        <w:rPr>
          <w:rFonts w:ascii="仿宋_GB2312" w:eastAsia="仿宋_GB2312" w:cs="仿宋_GB2312" w:hint="eastAsia"/>
          <w:sz w:val="28"/>
          <w:szCs w:val="28"/>
        </w:rPr>
        <w:t>%。</w:t>
      </w:r>
      <w:r>
        <w:rPr>
          <w:rFonts w:ascii="仿宋_GB2312" w:eastAsia="仿宋_GB2312" w:cs="仿宋_GB2312" w:hint="eastAsia"/>
          <w:b/>
          <w:bCs/>
          <w:sz w:val="28"/>
          <w:szCs w:val="28"/>
        </w:rPr>
        <w:t>网上信访量上升。</w:t>
      </w:r>
      <w:r>
        <w:rPr>
          <w:rFonts w:ascii="仿宋_GB2312" w:eastAsia="仿宋_GB2312" w:cs="仿宋_GB2312" w:hint="eastAsia"/>
          <w:sz w:val="28"/>
          <w:szCs w:val="28"/>
        </w:rPr>
        <w:t>网上信访量增加，全县网上信访</w:t>
      </w:r>
      <w:r>
        <w:rPr>
          <w:rFonts w:ascii="仿宋_GB2312" w:eastAsia="仿宋_GB2312" w:cs="仿宋_GB2312" w:hint="eastAsia"/>
          <w:sz w:val="28"/>
          <w:szCs w:val="28"/>
          <w:lang w:val="en-US" w:eastAsia="zh-CN"/>
        </w:rPr>
        <w:t>164</w:t>
      </w:r>
      <w:r>
        <w:rPr>
          <w:rFonts w:ascii="仿宋_GB2312" w:eastAsia="仿宋_GB2312" w:cs="仿宋_GB2312" w:hint="eastAsia"/>
          <w:sz w:val="28"/>
          <w:szCs w:val="28"/>
        </w:rPr>
        <w:t>件，同比增加</w:t>
      </w:r>
      <w:r>
        <w:rPr>
          <w:rFonts w:ascii="仿宋_GB2312" w:eastAsia="仿宋_GB2312" w:cs="仿宋_GB2312" w:hint="eastAsia"/>
          <w:sz w:val="28"/>
          <w:szCs w:val="28"/>
          <w:lang w:val="en-US" w:eastAsia="zh-CN"/>
        </w:rPr>
        <w:t>52</w:t>
      </w:r>
      <w:r>
        <w:rPr>
          <w:rFonts w:ascii="仿宋_GB2312" w:eastAsia="仿宋_GB2312" w:cs="仿宋_GB2312" w:hint="eastAsia"/>
          <w:sz w:val="28"/>
          <w:szCs w:val="28"/>
        </w:rPr>
        <w:t>件，上升</w:t>
      </w:r>
      <w:r>
        <w:rPr>
          <w:rFonts w:ascii="仿宋_GB2312" w:eastAsia="仿宋_GB2312" w:cs="仿宋_GB2312" w:hint="eastAsia"/>
          <w:sz w:val="28"/>
          <w:szCs w:val="28"/>
          <w:lang w:val="en-US" w:eastAsia="zh-CN"/>
        </w:rPr>
        <w:t>46.8</w:t>
      </w:r>
      <w:r>
        <w:rPr>
          <w:rFonts w:ascii="仿宋_GB2312" w:eastAsia="仿宋_GB2312" w:cs="仿宋_GB2312" w:hint="eastAsia"/>
          <w:sz w:val="28"/>
          <w:szCs w:val="28"/>
        </w:rPr>
        <w:t>%。其中：人民网网民留言共计</w:t>
      </w:r>
      <w:r>
        <w:rPr>
          <w:rFonts w:ascii="仿宋_GB2312" w:eastAsia="仿宋_GB2312" w:cs="仿宋_GB2312" w:hint="eastAsia"/>
          <w:sz w:val="28"/>
          <w:szCs w:val="28"/>
          <w:lang w:val="en-US" w:eastAsia="zh-CN"/>
        </w:rPr>
        <w:t>24</w:t>
      </w:r>
      <w:r>
        <w:rPr>
          <w:rFonts w:ascii="仿宋_GB2312" w:eastAsia="仿宋_GB2312" w:cs="仿宋_GB2312" w:hint="eastAsia"/>
          <w:sz w:val="28"/>
          <w:szCs w:val="28"/>
        </w:rPr>
        <w:t>条，办结回复</w:t>
      </w:r>
      <w:r>
        <w:rPr>
          <w:rFonts w:ascii="仿宋_GB2312" w:eastAsia="仿宋_GB2312" w:cs="仿宋_GB2312" w:hint="eastAsia"/>
          <w:sz w:val="28"/>
          <w:szCs w:val="28"/>
          <w:lang w:val="en-US" w:eastAsia="zh-CN"/>
        </w:rPr>
        <w:t>24</w:t>
      </w:r>
      <w:r>
        <w:rPr>
          <w:rFonts w:ascii="仿宋_GB2312" w:eastAsia="仿宋_GB2312" w:cs="仿宋_GB2312" w:hint="eastAsia"/>
          <w:sz w:val="28"/>
          <w:szCs w:val="28"/>
        </w:rPr>
        <w:t>条，办结率100%；领导信箱来信件共计</w:t>
      </w:r>
      <w:r>
        <w:rPr>
          <w:rFonts w:ascii="仿宋_GB2312" w:eastAsia="仿宋_GB2312" w:cs="仿宋_GB2312" w:hint="eastAsia"/>
          <w:sz w:val="28"/>
          <w:szCs w:val="28"/>
          <w:lang w:val="en-US" w:eastAsia="zh-CN"/>
        </w:rPr>
        <w:t>27</w:t>
      </w:r>
      <w:r>
        <w:rPr>
          <w:rFonts w:ascii="仿宋_GB2312" w:eastAsia="仿宋_GB2312" w:cs="仿宋_GB2312" w:hint="eastAsia"/>
          <w:sz w:val="28"/>
          <w:szCs w:val="28"/>
        </w:rPr>
        <w:t>件，办结</w:t>
      </w:r>
      <w:r>
        <w:rPr>
          <w:rFonts w:ascii="仿宋_GB2312" w:eastAsia="仿宋_GB2312" w:cs="仿宋_GB2312" w:hint="eastAsia"/>
          <w:sz w:val="28"/>
          <w:szCs w:val="28"/>
          <w:lang w:val="en-US" w:eastAsia="zh-CN"/>
        </w:rPr>
        <w:t>27</w:t>
      </w:r>
      <w:r>
        <w:rPr>
          <w:rFonts w:ascii="仿宋_GB2312" w:eastAsia="仿宋_GB2312" w:cs="仿宋_GB2312" w:hint="eastAsia"/>
          <w:sz w:val="28"/>
          <w:szCs w:val="28"/>
        </w:rPr>
        <w:t>件，办结率</w:t>
      </w:r>
      <w:r>
        <w:rPr>
          <w:rFonts w:ascii="仿宋_GB2312" w:eastAsia="仿宋_GB2312" w:cs="仿宋_GB2312" w:hint="eastAsia"/>
          <w:sz w:val="28"/>
          <w:szCs w:val="28"/>
          <w:lang w:val="en-US" w:eastAsia="zh-CN"/>
        </w:rPr>
        <w:t>100</w:t>
      </w:r>
      <w:r>
        <w:rPr>
          <w:rFonts w:ascii="仿宋_GB2312" w:eastAsia="仿宋_GB2312" w:cs="仿宋_GB2312" w:hint="eastAsia"/>
          <w:sz w:val="28"/>
          <w:szCs w:val="28"/>
        </w:rPr>
        <w:t>%；网上投诉共计</w:t>
      </w:r>
      <w:r>
        <w:rPr>
          <w:rFonts w:ascii="仿宋_GB2312" w:eastAsia="仿宋_GB2312" w:cs="仿宋_GB2312" w:hint="eastAsia"/>
          <w:sz w:val="28"/>
          <w:szCs w:val="28"/>
          <w:lang w:val="en-US" w:eastAsia="zh-CN"/>
        </w:rPr>
        <w:t>24</w:t>
      </w:r>
      <w:r>
        <w:rPr>
          <w:rFonts w:ascii="仿宋_GB2312" w:eastAsia="仿宋_GB2312" w:cs="仿宋_GB2312" w:hint="eastAsia"/>
          <w:sz w:val="28"/>
          <w:szCs w:val="28"/>
        </w:rPr>
        <w:t>件，办结</w:t>
      </w:r>
      <w:r>
        <w:rPr>
          <w:rFonts w:ascii="仿宋_GB2312" w:eastAsia="仿宋_GB2312" w:cs="仿宋_GB2312" w:hint="eastAsia"/>
          <w:sz w:val="28"/>
          <w:szCs w:val="28"/>
          <w:lang w:val="en-US" w:eastAsia="zh-CN"/>
        </w:rPr>
        <w:t>23</w:t>
      </w:r>
      <w:r>
        <w:rPr>
          <w:rFonts w:ascii="仿宋_GB2312" w:eastAsia="仿宋_GB2312" w:cs="仿宋_GB2312" w:hint="eastAsia"/>
          <w:sz w:val="28"/>
          <w:szCs w:val="28"/>
        </w:rPr>
        <w:t>件，办结率</w:t>
      </w:r>
      <w:r>
        <w:rPr>
          <w:rFonts w:ascii="仿宋_GB2312" w:eastAsia="仿宋_GB2312" w:cs="仿宋_GB2312" w:hint="eastAsia"/>
          <w:sz w:val="28"/>
          <w:szCs w:val="28"/>
          <w:lang w:val="en-US" w:eastAsia="zh-CN"/>
        </w:rPr>
        <w:t>95.8</w:t>
      </w:r>
      <w:r>
        <w:rPr>
          <w:rFonts w:ascii="仿宋_GB2312" w:eastAsia="仿宋_GB2312" w:cs="仿宋_GB2312" w:hint="eastAsia"/>
          <w:sz w:val="28"/>
          <w:szCs w:val="28"/>
        </w:rPr>
        <w:t>%；通过网上信访信息系统转送信访件</w:t>
      </w:r>
      <w:r>
        <w:rPr>
          <w:rFonts w:ascii="仿宋_GB2312" w:eastAsia="仿宋_GB2312" w:cs="仿宋_GB2312" w:hint="eastAsia"/>
          <w:sz w:val="28"/>
          <w:szCs w:val="28"/>
          <w:lang w:val="en-US" w:eastAsia="zh-CN"/>
        </w:rPr>
        <w:t>89</w:t>
      </w:r>
      <w:r>
        <w:rPr>
          <w:rFonts w:ascii="仿宋_GB2312" w:eastAsia="仿宋_GB2312" w:cs="仿宋_GB2312" w:hint="eastAsia"/>
          <w:sz w:val="28"/>
          <w:szCs w:val="28"/>
        </w:rPr>
        <w:t>件（次），办结</w:t>
      </w:r>
      <w:r>
        <w:rPr>
          <w:rFonts w:ascii="仿宋_GB2312" w:eastAsia="仿宋_GB2312" w:cs="仿宋_GB2312" w:hint="eastAsia"/>
          <w:sz w:val="28"/>
          <w:szCs w:val="28"/>
          <w:lang w:val="en-US" w:eastAsia="zh-CN"/>
        </w:rPr>
        <w:t>87</w:t>
      </w:r>
      <w:r>
        <w:rPr>
          <w:rFonts w:ascii="仿宋_GB2312" w:eastAsia="仿宋_GB2312" w:cs="仿宋_GB2312" w:hint="eastAsia"/>
          <w:sz w:val="28"/>
          <w:szCs w:val="28"/>
        </w:rPr>
        <w:t>件（次），办结率</w:t>
      </w:r>
      <w:r>
        <w:rPr>
          <w:rFonts w:ascii="仿宋_GB2312" w:eastAsia="仿宋_GB2312" w:cs="仿宋_GB2312" w:hint="eastAsia"/>
          <w:sz w:val="28"/>
          <w:szCs w:val="28"/>
          <w:lang w:val="en-US" w:eastAsia="zh-CN"/>
        </w:rPr>
        <w:t>97.8</w:t>
      </w:r>
      <w:r>
        <w:rPr>
          <w:rFonts w:ascii="仿宋_GB2312" w:eastAsia="仿宋_GB2312" w:cs="仿宋_GB2312" w:hint="eastAsia"/>
          <w:sz w:val="28"/>
          <w:szCs w:val="28"/>
        </w:rPr>
        <w:t>%。</w:t>
      </w:r>
      <w:r>
        <w:rPr>
          <w:rFonts w:ascii="仿宋_GB2312" w:eastAsia="仿宋_GB2312" w:cs="仿宋_GB2312" w:hint="eastAsia"/>
          <w:b/>
          <w:bCs/>
          <w:sz w:val="28"/>
          <w:szCs w:val="28"/>
        </w:rPr>
        <w:t>到省上访量上升。</w:t>
      </w:r>
      <w:r>
        <w:rPr>
          <w:rFonts w:ascii="仿宋_GB2312" w:eastAsia="仿宋_GB2312" w:cs="仿宋_GB2312" w:hint="eastAsia"/>
          <w:sz w:val="28"/>
          <w:szCs w:val="28"/>
        </w:rPr>
        <w:t>群众到省量</w:t>
      </w:r>
      <w:r>
        <w:rPr>
          <w:rFonts w:ascii="仿宋_GB2312" w:eastAsia="仿宋_GB2312" w:cs="仿宋_GB2312" w:hint="eastAsia"/>
          <w:sz w:val="28"/>
          <w:szCs w:val="28"/>
          <w:lang w:eastAsia="zh-CN"/>
        </w:rPr>
        <w:t>减少</w:t>
      </w:r>
      <w:r>
        <w:rPr>
          <w:rFonts w:ascii="仿宋_GB2312" w:eastAsia="仿宋_GB2312" w:cs="仿宋_GB2312" w:hint="eastAsia"/>
          <w:sz w:val="28"/>
          <w:szCs w:val="28"/>
        </w:rPr>
        <w:t>，全县到省上访</w:t>
      </w:r>
      <w:r>
        <w:rPr>
          <w:rFonts w:ascii="仿宋_GB2312" w:eastAsia="仿宋_GB2312" w:cs="仿宋_GB2312" w:hint="eastAsia"/>
          <w:bCs/>
          <w:sz w:val="28"/>
          <w:szCs w:val="28"/>
          <w:lang w:val="en-US" w:eastAsia="zh-CN"/>
        </w:rPr>
        <w:t>24</w:t>
      </w:r>
      <w:r>
        <w:rPr>
          <w:rFonts w:ascii="仿宋_GB2312" w:eastAsia="仿宋_GB2312" w:cs="仿宋_GB2312" w:hint="eastAsia"/>
          <w:bCs/>
          <w:sz w:val="28"/>
          <w:szCs w:val="28"/>
        </w:rPr>
        <w:t>批</w:t>
      </w:r>
      <w:r>
        <w:rPr>
          <w:rFonts w:ascii="仿宋_GB2312" w:eastAsia="仿宋_GB2312" w:cs="仿宋_GB2312" w:hint="eastAsia"/>
          <w:bCs/>
          <w:sz w:val="28"/>
          <w:szCs w:val="28"/>
          <w:lang w:val="en-US" w:eastAsia="zh-CN"/>
        </w:rPr>
        <w:t>44</w:t>
      </w:r>
      <w:r>
        <w:rPr>
          <w:rFonts w:ascii="仿宋_GB2312" w:eastAsia="仿宋_GB2312" w:cs="仿宋_GB2312" w:hint="eastAsia"/>
          <w:bCs/>
          <w:sz w:val="28"/>
          <w:szCs w:val="28"/>
        </w:rPr>
        <w:t>人次，同比</w:t>
      </w:r>
      <w:r>
        <w:rPr>
          <w:rFonts w:ascii="仿宋_GB2312" w:eastAsia="仿宋_GB2312" w:cs="仿宋_GB2312" w:hint="eastAsia"/>
          <w:bCs/>
          <w:sz w:val="28"/>
          <w:szCs w:val="28"/>
          <w:lang w:eastAsia="zh-CN"/>
        </w:rPr>
        <w:t>减少</w:t>
      </w:r>
      <w:r>
        <w:rPr>
          <w:rFonts w:ascii="仿宋_GB2312" w:eastAsia="仿宋_GB2312" w:cs="仿宋_GB2312" w:hint="eastAsia"/>
          <w:bCs/>
          <w:sz w:val="28"/>
          <w:szCs w:val="28"/>
          <w:lang w:val="en-US" w:eastAsia="zh-CN"/>
        </w:rPr>
        <w:t>22</w:t>
      </w:r>
      <w:r>
        <w:rPr>
          <w:rFonts w:ascii="仿宋_GB2312" w:eastAsia="仿宋_GB2312" w:cs="仿宋_GB2312" w:hint="eastAsia"/>
          <w:bCs/>
          <w:sz w:val="28"/>
          <w:szCs w:val="28"/>
        </w:rPr>
        <w:t>批</w:t>
      </w:r>
      <w:r>
        <w:rPr>
          <w:rFonts w:ascii="仿宋_GB2312" w:eastAsia="仿宋_GB2312" w:cs="仿宋_GB2312" w:hint="eastAsia"/>
          <w:bCs/>
          <w:sz w:val="28"/>
          <w:szCs w:val="28"/>
          <w:lang w:val="en-US" w:eastAsia="zh-CN"/>
        </w:rPr>
        <w:t>42</w:t>
      </w:r>
      <w:r>
        <w:rPr>
          <w:rFonts w:ascii="仿宋_GB2312" w:eastAsia="仿宋_GB2312" w:cs="仿宋_GB2312" w:hint="eastAsia"/>
          <w:bCs/>
          <w:sz w:val="28"/>
          <w:szCs w:val="28"/>
        </w:rPr>
        <w:t>人次，分别</w:t>
      </w:r>
      <w:r>
        <w:rPr>
          <w:rFonts w:ascii="仿宋_GB2312" w:eastAsia="仿宋_GB2312" w:cs="仿宋_GB2312" w:hint="eastAsia"/>
          <w:bCs/>
          <w:sz w:val="28"/>
          <w:szCs w:val="28"/>
          <w:lang w:eastAsia="zh-CN"/>
        </w:rPr>
        <w:t>下降</w:t>
      </w:r>
      <w:r>
        <w:rPr>
          <w:rFonts w:ascii="仿宋_GB2312" w:eastAsia="仿宋_GB2312" w:cs="仿宋_GB2312" w:hint="eastAsia"/>
          <w:bCs/>
          <w:sz w:val="28"/>
          <w:szCs w:val="28"/>
          <w:lang w:val="en-US" w:eastAsia="zh-CN"/>
        </w:rPr>
        <w:t>47.8</w:t>
      </w:r>
      <w:r>
        <w:rPr>
          <w:rFonts w:ascii="仿宋_GB2312" w:eastAsia="仿宋_GB2312" w:cs="仿宋_GB2312" w:hint="eastAsia"/>
          <w:bCs/>
          <w:sz w:val="28"/>
          <w:szCs w:val="28"/>
        </w:rPr>
        <w:t>%和</w:t>
      </w:r>
      <w:r>
        <w:rPr>
          <w:rFonts w:ascii="仿宋_GB2312" w:eastAsia="仿宋_GB2312" w:cs="仿宋_GB2312" w:hint="eastAsia"/>
          <w:bCs/>
          <w:sz w:val="28"/>
          <w:szCs w:val="28"/>
          <w:lang w:val="en-US" w:eastAsia="zh-CN"/>
        </w:rPr>
        <w:t>48.8</w:t>
      </w:r>
      <w:r>
        <w:rPr>
          <w:rFonts w:ascii="仿宋_GB2312" w:eastAsia="仿宋_GB2312" w:cs="仿宋_GB2312" w:hint="eastAsia"/>
          <w:bCs/>
          <w:sz w:val="28"/>
          <w:szCs w:val="28"/>
        </w:rPr>
        <w:t>%</w:t>
      </w:r>
      <w:r>
        <w:rPr>
          <w:rFonts w:ascii="仿宋_GB2312" w:eastAsia="仿宋_GB2312" w:cs="仿宋_GB2312" w:hint="eastAsia"/>
          <w:bCs/>
          <w:sz w:val="28"/>
          <w:szCs w:val="28"/>
          <w:lang w:eastAsia="zh-CN"/>
        </w:rPr>
        <w:t>。</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color w:val="auto"/>
          <w:sz w:val="28"/>
          <w:szCs w:val="28"/>
          <w:lang w:eastAsia="zh-CN"/>
        </w:rPr>
      </w:pPr>
      <w:r>
        <w:rPr>
          <w:rFonts w:hint="eastAsia"/>
          <w:b/>
          <w:bCs/>
          <w:color w:val="auto"/>
          <w:sz w:val="28"/>
          <w:szCs w:val="28"/>
          <w:lang w:val="en-US" w:eastAsia="zh-CN"/>
        </w:rPr>
        <w:t>2.</w:t>
      </w:r>
      <w:r>
        <w:rPr>
          <w:rFonts w:ascii="仿宋_GB2312" w:eastAsia="仿宋_GB2312" w:hint="eastAsia"/>
          <w:b/>
          <w:bCs/>
          <w:color w:val="auto"/>
          <w:sz w:val="28"/>
          <w:szCs w:val="28"/>
          <w:lang w:eastAsia="zh-CN"/>
        </w:rPr>
        <w:t>完善接访制度，突出领导干部接访下访。</w:t>
      </w:r>
      <w:r>
        <w:rPr>
          <w:rFonts w:ascii="仿宋_GB2312" w:eastAsia="仿宋_GB2312" w:hint="eastAsia"/>
          <w:color w:val="auto"/>
          <w:sz w:val="28"/>
          <w:szCs w:val="28"/>
          <w:lang w:eastAsia="zh-CN"/>
        </w:rPr>
        <w:t>县委书记、县长身体力行，率先垂范，实行县委常委、副县长接访制度，参加接访的县委、县政府领导，按照年初安排，到县</w:t>
      </w:r>
      <w:r>
        <w:rPr>
          <w:rFonts w:hint="eastAsia"/>
          <w:color w:val="auto"/>
          <w:sz w:val="28"/>
          <w:szCs w:val="28"/>
          <w:lang w:eastAsia="zh-CN"/>
        </w:rPr>
        <w:t>信访接待</w:t>
      </w:r>
      <w:r>
        <w:rPr>
          <w:rFonts w:ascii="仿宋_GB2312" w:eastAsia="仿宋_GB2312" w:hint="eastAsia"/>
          <w:color w:val="auto"/>
          <w:sz w:val="28"/>
          <w:szCs w:val="28"/>
          <w:lang w:eastAsia="zh-CN"/>
        </w:rPr>
        <w:t>中心坐班接访和处理信访事项。对重大复杂的疑难信访诉求，领导带案下访，立足于维护群众的合法利益，着力集中解决突出问题，就地协调处理群众诉求，提高了工作效率，群众满意率达95%以上。</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color w:val="auto"/>
          <w:sz w:val="28"/>
          <w:szCs w:val="28"/>
          <w:lang w:eastAsia="zh-CN"/>
        </w:rPr>
      </w:pPr>
      <w:r>
        <w:rPr>
          <w:rFonts w:ascii="仿宋_GB2312" w:eastAsia="仿宋_GB2312" w:hint="eastAsia"/>
          <w:b/>
          <w:bCs/>
          <w:color w:val="auto"/>
          <w:sz w:val="28"/>
          <w:szCs w:val="28"/>
          <w:lang w:val="en-US" w:eastAsia="zh-CN"/>
        </w:rPr>
        <w:t>3</w:t>
      </w:r>
      <w:r>
        <w:rPr>
          <w:rFonts w:ascii="仿宋_GB2312" w:eastAsia="仿宋_GB2312" w:hint="eastAsia"/>
          <w:b/>
          <w:bCs/>
          <w:color w:val="auto"/>
          <w:sz w:val="28"/>
          <w:szCs w:val="28"/>
          <w:lang w:eastAsia="zh-CN"/>
        </w:rPr>
        <w:t>.畅通信访渠道，及时就地解决信访问题。</w:t>
      </w:r>
      <w:r>
        <w:rPr>
          <w:rFonts w:ascii="仿宋_GB2312" w:eastAsia="仿宋_GB2312" w:hint="eastAsia"/>
          <w:color w:val="auto"/>
          <w:sz w:val="28"/>
          <w:szCs w:val="28"/>
          <w:lang w:eastAsia="zh-CN"/>
        </w:rPr>
        <w:t>为切实促进信访问题及时就地解决，我县积极搭建信访工作平台。一是加强信访办公场所建设。创建“人民满意窗口”的接访大厅，城建、民政、交通、人社等信访重点部门，根据接访内容进驻中心窗口，构建信、访、网、电“四位一体”的接访办信网络。二是抓好初信初访办理，把好“第一道关口”。实行严格的分级处置工作程序，做好登记，及时转办、交办，协调联动相关部门、限时办结，办结率100%。</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color w:val="auto"/>
          <w:sz w:val="28"/>
          <w:szCs w:val="28"/>
          <w:lang w:eastAsia="zh-CN"/>
        </w:rPr>
      </w:pPr>
      <w:r>
        <w:rPr>
          <w:rFonts w:ascii="仿宋_GB2312" w:eastAsia="仿宋_GB2312" w:hint="eastAsia"/>
          <w:b/>
          <w:bCs/>
          <w:color w:val="auto"/>
          <w:sz w:val="28"/>
          <w:szCs w:val="28"/>
          <w:lang w:val="en-US" w:eastAsia="zh-CN"/>
        </w:rPr>
        <w:t>4</w:t>
      </w:r>
      <w:r>
        <w:rPr>
          <w:rFonts w:ascii="仿宋_GB2312" w:eastAsia="仿宋_GB2312" w:hint="eastAsia"/>
          <w:b/>
          <w:bCs/>
          <w:color w:val="auto"/>
          <w:sz w:val="28"/>
          <w:szCs w:val="28"/>
          <w:lang w:eastAsia="zh-CN"/>
        </w:rPr>
        <w:t>.开展“两联一进”群众工作，持续推进信访维稳工作。</w:t>
      </w:r>
      <w:r>
        <w:rPr>
          <w:rFonts w:ascii="仿宋_GB2312" w:eastAsia="仿宋_GB2312" w:hint="eastAsia"/>
          <w:color w:val="auto"/>
          <w:sz w:val="28"/>
          <w:szCs w:val="28"/>
          <w:lang w:eastAsia="zh-CN"/>
        </w:rPr>
        <w:t>当前，因历史遗留、涉法涉诉、重点项目推进推开，导致新旧矛盾叠加，大量的社会问题和矛盾纠纷凸显，信访形势不容乐观，面临巨大信访维稳工作压力。县委、县政府高度重视信访工作，为了解决群众合理诉求，切实化解历史遗留问题，妥善处理群众来访，维护群众合法权益，全力以赴做好全国、省、州“两会”等重要敏感时段信访维稳工作。全县以“两联一进”群众工作为契机，在全县继续推行“网格化＋”新时代群众工作法，将汶川各镇连片划分为“五大战区”，由县五套班子分片包干，构建起第一级网格；由乡镇挂联的县级领导任第一书记包乡（镇），乡镇班子成员为驻村工作组组长，构建起第二级网格；以村为单位，按照自然村寨布局、亲属邻里关系远近等将10-20户群众划为1个网格，由村干部或村上党员担任“格长”，由县级部门、院校、企业等帮扶力量担任“格员”进行全覆盖网格包户，构建起第三级网格，全面铺开矛盾纠纷大排查工作，实现了社情民意在网格中掌握、公共服务在网格中开展、矛盾纠纷在网格中化解，很大程度减小了全县信访量，群众安全感、满意度不断提高，持续有效推进了汶川县阳光信访、责任信访、法治信访、开放信访、和谐信访，有效推动了信访工作制度化、规范化。</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color w:val="auto"/>
          <w:sz w:val="28"/>
          <w:szCs w:val="28"/>
          <w:lang w:eastAsia="zh-CN"/>
        </w:rPr>
      </w:pPr>
      <w:r>
        <w:rPr>
          <w:rFonts w:ascii="仿宋_GB2312" w:eastAsia="仿宋_GB2312" w:hint="eastAsia"/>
          <w:b/>
          <w:bCs/>
          <w:color w:val="auto"/>
          <w:sz w:val="28"/>
          <w:szCs w:val="28"/>
          <w:lang w:val="en-US" w:eastAsia="zh-CN"/>
        </w:rPr>
        <w:t>5</w:t>
      </w:r>
      <w:r>
        <w:rPr>
          <w:rFonts w:ascii="仿宋_GB2312" w:eastAsia="仿宋_GB2312" w:hint="eastAsia"/>
          <w:b/>
          <w:bCs/>
          <w:color w:val="auto"/>
          <w:sz w:val="28"/>
          <w:szCs w:val="28"/>
          <w:lang w:eastAsia="zh-CN"/>
        </w:rPr>
        <w:t>.健全工作机制，全力解决信访突出问题。</w:t>
      </w:r>
      <w:r>
        <w:rPr>
          <w:rFonts w:ascii="仿宋_GB2312" w:eastAsia="仿宋_GB2312" w:hint="eastAsia"/>
          <w:color w:val="auto"/>
          <w:sz w:val="28"/>
          <w:szCs w:val="28"/>
          <w:lang w:eastAsia="zh-CN"/>
        </w:rPr>
        <w:t>发挥信访工作联席会议及其办公室的作用，针对信访突出问题，采取有力措施，依法依规开展问题化解。一是分类处理。对于化解有空间，信访人能够息访的可化解类信访突出问题，在加大化解力度，力求信访人息访的同时，积极引导信访人通过复查复核三级程序维护自身合法权益。对于信访程序三级终结，且信访人诉求无政策依据，并提出过高、无理诉求的疏导稳控类案件，则分清责任,明确牵头单位,并由乡镇协作稳控。二是全力保障。县委、县政府每月分别在县委常委会、政府常务会上专题研究信访工作，县级信访疑难问题化解资高达100万元/年，从人力、物力、财力上，全力保证信访工作的顺利开展。三是整合资源。整合社会管理资源，综合运用法律、行政、经济等综合措施，把司法调解、行政调解、人民调解结合起来，并与县司法局联合成立了汶川县信访事项人民调解委员会，积极发挥人民调解在构建和谐汶川，维护社会稳定中的作用。同时，抽派信访、司法、公安等熟悉群众工作的干部组成驻蓉稳控工作组，制定了到省、进京非正常上访的应急预案，健全了联动处置、强化劝返等工作机制。</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Fonts w:ascii="仿宋_GB2312" w:eastAsia="仿宋_GB2312" w:hint="eastAsia"/>
          <w:color w:val="auto"/>
          <w:sz w:val="28"/>
          <w:szCs w:val="28"/>
          <w:lang w:eastAsia="zh-CN"/>
        </w:rPr>
      </w:pPr>
      <w:r>
        <w:rPr>
          <w:rFonts w:ascii="仿宋_GB2312" w:eastAsia="仿宋_GB2312" w:hint="eastAsia"/>
          <w:b/>
          <w:bCs/>
          <w:color w:val="auto"/>
          <w:sz w:val="28"/>
          <w:szCs w:val="28"/>
          <w:lang w:val="en-US" w:eastAsia="zh-CN"/>
        </w:rPr>
        <w:t>6</w:t>
      </w:r>
      <w:r>
        <w:rPr>
          <w:rFonts w:ascii="仿宋_GB2312" w:eastAsia="仿宋_GB2312" w:hint="eastAsia"/>
          <w:b/>
          <w:bCs/>
          <w:color w:val="auto"/>
          <w:sz w:val="28"/>
          <w:szCs w:val="28"/>
          <w:lang w:eastAsia="zh-CN"/>
        </w:rPr>
        <w:t>.重拳出击，依法治访，严厉打击非法上访行为。</w:t>
      </w:r>
      <w:r>
        <w:rPr>
          <w:rFonts w:ascii="仿宋_GB2312" w:eastAsia="仿宋_GB2312" w:hint="eastAsia"/>
          <w:color w:val="auto"/>
          <w:sz w:val="28"/>
          <w:szCs w:val="28"/>
          <w:lang w:eastAsia="zh-CN"/>
        </w:rPr>
        <w:t xml:space="preserve">近年来，我县少数信访人员漠视法律，有的达不到目的，便赴省进京到敏感地区非法信访，以上访为由要挟政府相关部门并提出巨额赔偿金，这些缠访、闹访行为，严重扰乱正常的社会秩序和干事创业的良好社会风气。我县公安机关充分发挥职能作用，对无视法律权威的违法上访行为，用法律方式依法处理，维护了社会主义法制的权威，向心存侥幸的违法信访人员敲醒警钟。 </w:t>
      </w:r>
    </w:p>
    <w:p>
      <w:pPr>
        <w:keepNext w:val="0"/>
        <w:keepLines w:val="0"/>
        <w:pageBreakBefore w:val="0"/>
        <w:widowControl w:val="0"/>
        <w:kinsoku/>
        <w:wordWrap/>
        <w:overflowPunct/>
        <w:topLinePunct w:val="0"/>
        <w:autoSpaceDE/>
        <w:autoSpaceDN/>
        <w:bidi w:val="0"/>
        <w:adjustRightInd/>
        <w:snapToGrid/>
        <w:spacing w:line="532" w:lineRule="exact"/>
        <w:ind w:firstLineChars="200" w:firstLine="560"/>
        <w:textAlignment w:val="auto"/>
        <w:rPr>
          <w:rStyle w:val="2Char"/>
          <w:rFonts w:ascii="仿宋_GB2312" w:eastAsia="仿宋_GB2312" w:cs="仿宋_GB2312" w:hint="eastAsia"/>
          <w:b w:val="0"/>
          <w:bCs w:val="0"/>
          <w:color w:val="auto"/>
          <w:kern w:val="2"/>
          <w:sz w:val="28"/>
          <w:szCs w:val="28"/>
          <w:lang w:val="en-US" w:eastAsia="zh-CN" w:bidi="ar-SA"/>
        </w:rPr>
      </w:pPr>
      <w:bookmarkStart w:id="27" w:name="_Toc15377200"/>
      <w:r>
        <w:rPr>
          <w:rFonts w:ascii="黑体" w:eastAsia="黑体" w:hint="eastAsia"/>
          <w:b w:val="0"/>
          <w:color w:val="auto"/>
          <w:sz w:val="28"/>
          <w:szCs w:val="28"/>
          <w:lang w:eastAsia="zh-CN"/>
        </w:rPr>
        <w:t>二、</w:t>
      </w:r>
      <w:r>
        <w:rPr>
          <w:rFonts w:ascii="黑体" w:eastAsia="黑体" w:hint="eastAsia"/>
          <w:b w:val="0"/>
          <w:color w:val="auto"/>
          <w:sz w:val="28"/>
          <w:szCs w:val="28"/>
        </w:rPr>
        <w:t>机</w:t>
      </w:r>
      <w:r>
        <w:rPr>
          <w:rStyle w:val="2Char"/>
          <w:rFonts w:ascii="黑体" w:eastAsia="黑体" w:hint="eastAsia"/>
          <w:b w:val="0"/>
          <w:bCs w:val="0"/>
          <w:color w:val="auto"/>
          <w:sz w:val="28"/>
          <w:szCs w:val="28"/>
        </w:rPr>
        <w:t>构设置</w:t>
      </w:r>
      <w:bookmarkEnd w:id="27"/>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bookmarkStart w:id="28" w:name="_Toc11497"/>
      <w:r>
        <w:rPr>
          <w:rStyle w:val="2Char"/>
          <w:rFonts w:ascii="仿宋_GB2312" w:eastAsia="仿宋_GB2312" w:cs="仿宋_GB2312" w:hint="eastAsia"/>
          <w:b w:val="0"/>
          <w:bCs w:val="0"/>
          <w:color w:val="auto"/>
          <w:kern w:val="2"/>
          <w:sz w:val="28"/>
          <w:szCs w:val="28"/>
          <w:lang w:val="en-US" w:eastAsia="zh-CN" w:bidi="ar-SA"/>
        </w:rPr>
        <w:t>汶川县信访接待中心属一级预算单位，本部门为汶川县信访局下设副科级事业单位，内设科室2个为：综合股、网络管理股。县信访接待中心事业编制3名、在职人员总数：2人。</w:t>
      </w: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bookmarkEnd w:id="28"/>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6"/>
        <w:keepNext w:val="0"/>
        <w:keepLines w:val="0"/>
        <w:pageBreakBefore w:val="0"/>
        <w:widowControl w:val="0"/>
        <w:kinsoku/>
        <w:wordWrap/>
        <w:overflowPunct/>
        <w:topLinePunct w:val="0"/>
        <w:bidi w:val="0"/>
        <w:adjustRightInd w:val="0"/>
        <w:snapToGrid w:val="0"/>
        <w:spacing w:beforeLines="0" w:before="0" w:line="530" w:lineRule="exact"/>
        <w:ind w:left="0" w:right="0" w:firstLineChars="209" w:firstLine="588"/>
        <w:outlineLvl w:val="9"/>
        <w:rPr>
          <w:rStyle w:val="2Char"/>
          <w:rFonts w:ascii="仿宋_GB2312" w:eastAsia="仿宋_GB2312" w:cs="仿宋_GB2312" w:hint="eastAsia"/>
          <w:b w:val="0"/>
          <w:bCs w:val="0"/>
          <w:color w:val="auto"/>
          <w:kern w:val="2"/>
          <w:sz w:val="28"/>
          <w:szCs w:val="28"/>
          <w:lang w:val="en-US" w:eastAsia="zh-CN" w:bidi="ar-SA"/>
        </w:rPr>
      </w:pPr>
    </w:p>
    <w:p>
      <w:pPr>
        <w:pStyle w:val="1"/>
        <w:ind w:right="440"/>
        <w:jc w:val="center"/>
        <w:rPr>
          <w:rFonts w:ascii="仿宋_GB2312" w:eastAsia="仿宋_GB2312" w:cs="仿宋_GB2312" w:hint="eastAsia"/>
          <w:color w:val="auto"/>
          <w:sz w:val="28"/>
          <w:szCs w:val="28"/>
        </w:rPr>
      </w:pPr>
      <w:bookmarkStart w:id="29" w:name="_Toc8782"/>
      <w:r>
        <w:rPr>
          <w:rFonts w:ascii="仿宋_GB2312" w:eastAsia="仿宋_GB2312" w:cs="仿宋_GB2312" w:hint="eastAsia"/>
          <w:b w:val="0"/>
          <w:color w:val="auto"/>
          <w:sz w:val="28"/>
          <w:szCs w:val="28"/>
        </w:rPr>
        <w:t>第二部分</w:t>
      </w:r>
      <w:r>
        <w:rPr>
          <w:rFonts w:ascii="仿宋_GB2312" w:eastAsia="仿宋_GB2312" w:cs="仿宋_GB2312" w:hint="eastAsia"/>
          <w:color w:val="auto"/>
          <w:sz w:val="28"/>
          <w:szCs w:val="28"/>
        </w:rPr>
        <w:t xml:space="preserve"> </w:t>
      </w:r>
      <w:r>
        <w:rPr>
          <w:rStyle w:val="1Char"/>
          <w:rFonts w:ascii="仿宋_GB2312" w:eastAsia="仿宋_GB2312" w:cs="仿宋_GB2312" w:hint="eastAsia"/>
          <w:b w:val="0"/>
          <w:bCs w:val="0"/>
          <w:color w:val="auto"/>
          <w:sz w:val="28"/>
          <w:szCs w:val="28"/>
          <w:lang w:eastAsia="zh-CN"/>
        </w:rPr>
        <w:t>2020年</w:t>
      </w:r>
      <w:r>
        <w:rPr>
          <w:rStyle w:val="1Char"/>
          <w:rFonts w:ascii="仿宋_GB2312" w:eastAsia="仿宋_GB2312" w:cs="仿宋_GB2312" w:hint="eastAsia"/>
          <w:b w:val="0"/>
          <w:bCs w:val="0"/>
          <w:color w:val="auto"/>
          <w:sz w:val="28"/>
          <w:szCs w:val="28"/>
        </w:rPr>
        <w:t>度部门决算情况说明</w:t>
      </w:r>
      <w:bookmarkEnd w:id="23"/>
      <w:bookmarkEnd w:id="29"/>
    </w:p>
    <w:p>
      <w:pPr>
        <w:pStyle w:val="24"/>
        <w:numPr>
          <w:ilvl w:val="0"/>
          <w:numId w:val="1"/>
        </w:numPr>
        <w:spacing w:line="600" w:lineRule="exact"/>
        <w:ind w:left="1350"/>
        <w:outlineLvl w:val="1"/>
        <w:rPr>
          <w:rStyle w:val="2Char"/>
          <w:rFonts w:ascii="仿宋_GB2312" w:eastAsia="仿宋_GB2312" w:cs="仿宋_GB2312" w:hint="eastAsia"/>
          <w:b w:val="0"/>
          <w:color w:val="auto"/>
          <w:sz w:val="28"/>
          <w:szCs w:val="28"/>
        </w:rPr>
      </w:pPr>
      <w:bookmarkStart w:id="30" w:name="_Toc15377205"/>
      <w:bookmarkStart w:id="31" w:name="_Toc30418"/>
      <w:r>
        <w:rPr>
          <w:rFonts w:ascii="仿宋_GB2312" w:eastAsia="仿宋_GB2312" w:cs="仿宋_GB2312" w:hint="eastAsia"/>
          <w:color w:val="auto"/>
          <w:sz w:val="28"/>
          <w:szCs w:val="28"/>
        </w:rPr>
        <w:t>收</w:t>
      </w:r>
      <w:r>
        <w:rPr>
          <w:rStyle w:val="2Char"/>
          <w:rFonts w:ascii="仿宋_GB2312" w:eastAsia="仿宋_GB2312" w:cs="仿宋_GB2312" w:hint="eastAsia"/>
          <w:b w:val="0"/>
          <w:color w:val="auto"/>
          <w:sz w:val="28"/>
          <w:szCs w:val="28"/>
        </w:rPr>
        <w:t>入支出决算总体情况说明</w:t>
      </w:r>
      <w:bookmarkEnd w:id="30"/>
      <w:bookmarkEnd w:id="31"/>
    </w:p>
    <w:p>
      <w:pPr>
        <w:pageBreakBefore w:val="0"/>
        <w:widowControl w:val="0"/>
        <w:kinsoku/>
        <w:wordWrap/>
        <w:overflowPunct/>
        <w:topLinePunct w:val="0"/>
        <w:bidi w:val="0"/>
        <w:spacing w:line="576" w:lineRule="exact"/>
        <w:ind w:firstLineChars="200" w:firstLine="560"/>
        <w:textAlignment w:val="auto"/>
        <w:rPr>
          <w:rFonts w:ascii="仿宋_GB2312" w:eastAsia="仿宋_GB2312" w:cs="仿宋_GB2312" w:hint="eastAsia"/>
          <w:color w:val="auto"/>
          <w:sz w:val="28"/>
          <w:szCs w:val="28"/>
          <w:lang w:eastAsia="zh-CN"/>
        </w:rPr>
      </w:pPr>
      <w:r>
        <w:rPr>
          <w:rFonts w:ascii="仿宋_GB2312" w:eastAsia="仿宋_GB2312" w:cs="仿宋_GB2312" w:hint="eastAsia"/>
          <w:color w:val="auto"/>
          <w:sz w:val="28"/>
          <w:szCs w:val="28"/>
          <w:lang w:eastAsia="zh-CN"/>
        </w:rPr>
        <w:drawing>
          <wp:anchor distT="0" distB="0" distL="114300" distR="114300" simplePos="0" relativeHeight="19" behindDoc="0" locked="0" layoutInCell="1" hidden="0" allowOverlap="1">
            <wp:simplePos x="0" y="0"/>
            <wp:positionH relativeFrom="column">
              <wp:posOffset>3086100</wp:posOffset>
            </wp:positionH>
            <wp:positionV relativeFrom="paragraph">
              <wp:posOffset>1219200</wp:posOffset>
            </wp:positionV>
            <wp:extent cx="2644775" cy="3007360"/>
            <wp:effectExtent l="0" t="0" r="0" b="0"/>
            <wp:wrapTight wrapText="bothSides">
              <wp:wrapPolygon>
                <wp:start x="0" y="-9"/>
                <wp:lineTo x="0" y="21540"/>
                <wp:lineTo x="21547" y="21540"/>
                <wp:lineTo x="21547" y="-9"/>
                <wp:lineTo x="0" y="-9"/>
              </wp:wrapPolygon>
            </wp:wrapTight>
            <wp:docPr id="1" name="图表 3"/>
            <wp:cNvGraphicFramePr>
              <a:graphicFrameLocks noChangeAspect="0"/>
            </wp:cNvGraphicFramePr>
            <a:graphic>
              <a:graphicData uri="http://schemas.openxmlformats.org/drawingml/2006/chart">
                <c:chart xmlns:c="http://schemas.openxmlformats.org/drawingml/2006/chart" r:id="rId4"/>
              </a:graphicData>
            </a:graphic>
          </wp:anchor>
        </w:drawing>
      </w: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度收</w:t>
      </w:r>
      <w:r>
        <w:rPr>
          <w:rFonts w:ascii="仿宋_GB2312" w:eastAsia="仿宋_GB2312" w:cs="仿宋_GB2312" w:hint="eastAsia"/>
          <w:color w:val="auto"/>
          <w:sz w:val="28"/>
          <w:szCs w:val="28"/>
          <w:lang w:eastAsia="zh-CN"/>
        </w:rPr>
        <w:t>入</w:t>
      </w:r>
      <w:r>
        <w:rPr>
          <w:rFonts w:ascii="仿宋_GB2312" w:eastAsia="仿宋_GB2312" w:cs="仿宋_GB2312" w:hint="eastAsia"/>
          <w:color w:val="auto"/>
          <w:sz w:val="28"/>
          <w:szCs w:val="28"/>
        </w:rPr>
        <w:t>总计</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；支出总计</w:t>
      </w:r>
      <w:r>
        <w:rPr>
          <w:rFonts w:ascii="仿宋_GB2312" w:eastAsia="仿宋_GB2312" w:cs="仿宋_GB2312" w:hint="eastAsia"/>
          <w:color w:val="auto"/>
          <w:sz w:val="28"/>
          <w:szCs w:val="28"/>
          <w:lang w:val="en-US" w:eastAsia="zh-CN"/>
        </w:rPr>
        <w:t>27.47万元</w:t>
      </w:r>
      <w:r>
        <w:rPr>
          <w:rFonts w:ascii="仿宋_GB2312" w:eastAsia="仿宋_GB2312" w:cs="仿宋_GB2312" w:hint="eastAsia"/>
          <w:color w:val="auto"/>
          <w:sz w:val="28"/>
          <w:szCs w:val="28"/>
        </w:rPr>
        <w:t>。与</w:t>
      </w:r>
      <w:r>
        <w:rPr>
          <w:rFonts w:ascii="仿宋_GB2312" w:eastAsia="仿宋_GB2312" w:cs="仿宋_GB2312" w:hint="eastAsia"/>
          <w:color w:val="auto"/>
          <w:sz w:val="28"/>
          <w:szCs w:val="28"/>
          <w:lang w:eastAsia="zh-CN"/>
        </w:rPr>
        <w:t>2019年</w:t>
      </w:r>
      <w:r>
        <w:rPr>
          <w:rFonts w:ascii="仿宋_GB2312" w:eastAsia="仿宋_GB2312" w:cs="仿宋_GB2312" w:hint="eastAsia"/>
          <w:color w:val="auto"/>
          <w:sz w:val="28"/>
          <w:szCs w:val="28"/>
        </w:rPr>
        <w:t>相比，收</w:t>
      </w:r>
      <w:r>
        <w:rPr>
          <w:rFonts w:ascii="仿宋_GB2312" w:eastAsia="仿宋_GB2312" w:cs="仿宋_GB2312" w:hint="eastAsia"/>
          <w:color w:val="auto"/>
          <w:sz w:val="28"/>
          <w:szCs w:val="28"/>
          <w:lang w:eastAsia="zh-CN"/>
        </w:rPr>
        <w:t>入总计减少</w:t>
      </w:r>
      <w:r>
        <w:rPr>
          <w:rFonts w:ascii="仿宋_GB2312" w:eastAsia="仿宋_GB2312" w:cs="仿宋_GB2312" w:hint="eastAsia"/>
          <w:color w:val="auto"/>
          <w:sz w:val="28"/>
          <w:szCs w:val="28"/>
          <w:lang w:val="en-US" w:eastAsia="zh-CN"/>
        </w:rPr>
        <w:t>0.11万元，</w:t>
      </w:r>
      <w:r>
        <w:rPr>
          <w:rFonts w:ascii="仿宋_GB2312" w:eastAsia="仿宋_GB2312" w:cs="仿宋_GB2312" w:hint="eastAsia"/>
          <w:color w:val="auto"/>
          <w:sz w:val="28"/>
          <w:szCs w:val="28"/>
        </w:rPr>
        <w:t>支</w:t>
      </w:r>
      <w:r>
        <w:rPr>
          <w:rFonts w:ascii="仿宋_GB2312" w:eastAsia="仿宋_GB2312" w:cs="仿宋_GB2312" w:hint="eastAsia"/>
          <w:color w:val="auto"/>
          <w:sz w:val="28"/>
          <w:szCs w:val="28"/>
          <w:lang w:eastAsia="zh-CN"/>
        </w:rPr>
        <w:t>出</w:t>
      </w:r>
      <w:r>
        <w:rPr>
          <w:rFonts w:ascii="仿宋_GB2312" w:eastAsia="仿宋_GB2312" w:cs="仿宋_GB2312" w:hint="eastAsia"/>
          <w:color w:val="auto"/>
          <w:sz w:val="28"/>
          <w:szCs w:val="28"/>
        </w:rPr>
        <w:t>总计</w:t>
      </w:r>
      <w:r>
        <w:rPr>
          <w:rFonts w:ascii="仿宋_GB2312" w:eastAsia="仿宋_GB2312" w:cs="仿宋_GB2312" w:hint="eastAsia"/>
          <w:color w:val="auto"/>
          <w:sz w:val="28"/>
          <w:szCs w:val="28"/>
          <w:lang w:eastAsia="zh-CN"/>
        </w:rPr>
        <w:t>减少</w:t>
      </w:r>
      <w:r>
        <w:rPr>
          <w:rFonts w:ascii="仿宋_GB2312" w:eastAsia="仿宋_GB2312" w:cs="仿宋_GB2312" w:hint="eastAsia"/>
          <w:color w:val="auto"/>
          <w:sz w:val="28"/>
          <w:szCs w:val="28"/>
          <w:lang w:val="en-US" w:eastAsia="zh-CN"/>
        </w:rPr>
        <w:t>0.11</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收入降低</w:t>
      </w:r>
      <w:r>
        <w:rPr>
          <w:rFonts w:ascii="仿宋_GB2312" w:eastAsia="仿宋_GB2312" w:cs="仿宋_GB2312" w:hint="eastAsia"/>
          <w:color w:val="auto"/>
          <w:sz w:val="28"/>
          <w:szCs w:val="28"/>
          <w:lang w:val="en-US" w:eastAsia="zh-CN"/>
        </w:rPr>
        <w:t>0.4</w:t>
      </w:r>
      <w:r>
        <w:rPr>
          <w:rFonts w:ascii="仿宋_GB2312" w:eastAsia="仿宋_GB2312" w:cs="仿宋_GB2312" w:hint="eastAsia"/>
          <w:color w:val="auto"/>
          <w:sz w:val="28"/>
          <w:szCs w:val="28"/>
        </w:rPr>
        <w:t>%</w:t>
      </w:r>
      <w:r>
        <w:rPr>
          <w:rFonts w:ascii="仿宋_GB2312" w:eastAsia="仿宋_GB2312" w:cs="仿宋_GB2312" w:hint="eastAsia"/>
          <w:color w:val="auto"/>
          <w:sz w:val="28"/>
          <w:szCs w:val="28"/>
          <w:lang w:eastAsia="zh-CN"/>
        </w:rPr>
        <w:t>，支出降低</w:t>
      </w:r>
      <w:r>
        <w:rPr>
          <w:rFonts w:ascii="仿宋_GB2312" w:eastAsia="仿宋_GB2312" w:cs="仿宋_GB2312" w:hint="eastAsia"/>
          <w:color w:val="auto"/>
          <w:sz w:val="28"/>
          <w:szCs w:val="28"/>
          <w:lang w:val="en-US" w:eastAsia="zh-CN"/>
        </w:rPr>
        <w:t>0.4</w:t>
      </w:r>
      <w:r>
        <w:rPr>
          <w:rFonts w:ascii="仿宋_GB2312" w:eastAsia="仿宋_GB2312" w:cs="仿宋_GB2312" w:hint="eastAsia"/>
          <w:color w:val="auto"/>
          <w:sz w:val="28"/>
          <w:szCs w:val="28"/>
        </w:rPr>
        <w:t>%</w:t>
      </w:r>
      <w:r>
        <w:rPr>
          <w:rFonts w:ascii="仿宋_GB2312" w:eastAsia="仿宋_GB2312" w:cs="仿宋_GB2312" w:hint="eastAsia"/>
          <w:color w:val="auto"/>
          <w:sz w:val="28"/>
          <w:szCs w:val="28"/>
          <w:lang w:eastAsia="zh-CN"/>
        </w:rPr>
        <w:t>。</w:t>
      </w:r>
      <w:r>
        <w:rPr>
          <w:rFonts w:ascii="仿宋_GB2312" w:eastAsia="仿宋_GB2312" w:cs="仿宋_GB2312" w:hint="eastAsia"/>
          <w:color w:val="auto"/>
          <w:sz w:val="28"/>
          <w:szCs w:val="28"/>
        </w:rPr>
        <w:t>（图1：收、支决算总计变动情况图）</w:t>
      </w:r>
    </w:p>
    <w:p>
      <w:pPr>
        <w:pageBreakBefore w:val="0"/>
        <w:widowControl w:val="0"/>
        <w:kinsoku/>
        <w:wordWrap/>
        <w:overflowPunct/>
        <w:topLinePunct w:val="0"/>
        <w:bidi w:val="0"/>
        <w:spacing w:line="576" w:lineRule="exact"/>
        <w:textAlignment w:val="auto"/>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drawing>
          <wp:anchor distT="0" distB="0" distL="114300" distR="114300" simplePos="0" relativeHeight="21" behindDoc="0" locked="0" layoutInCell="1" hidden="0" allowOverlap="1">
            <wp:simplePos x="0" y="0"/>
            <wp:positionH relativeFrom="column">
              <wp:posOffset>24765</wp:posOffset>
            </wp:positionH>
            <wp:positionV relativeFrom="paragraph">
              <wp:posOffset>88264</wp:posOffset>
            </wp:positionV>
            <wp:extent cx="2644775" cy="3007360"/>
            <wp:effectExtent l="0" t="0" r="0" b="0"/>
            <wp:wrapTight wrapText="bothSides">
              <wp:wrapPolygon>
                <wp:start x="-46" y="-41"/>
                <wp:lineTo x="-46" y="21576"/>
                <wp:lineTo x="21578" y="21576"/>
                <wp:lineTo x="21578" y="-41"/>
                <wp:lineTo x="-46" y="-41"/>
              </wp:wrapPolygon>
            </wp:wrapTight>
            <wp:docPr id="2" name="图表 4"/>
            <wp:cNvGraphicFramePr>
              <a:graphicFrameLocks noChangeAspect="0"/>
            </wp:cNvGraphicFramePr>
            <a:graphic>
              <a:graphicData uri="http://schemas.openxmlformats.org/drawingml/2006/chart">
                <c:chart xmlns:c="http://schemas.openxmlformats.org/drawingml/2006/chart" r:id="rId5"/>
              </a:graphicData>
            </a:graphic>
          </wp:anchor>
        </w:drawing>
      </w:r>
    </w:p>
    <w:p>
      <w:pPr>
        <w:pStyle w:val="24"/>
        <w:numPr>
          <w:ilvl w:val="0"/>
          <w:numId w:val="1"/>
        </w:numPr>
        <w:spacing w:line="600" w:lineRule="exact"/>
        <w:ind w:left="1350"/>
        <w:outlineLvl w:val="1"/>
        <w:rPr>
          <w:rStyle w:val="2Char"/>
          <w:rFonts w:ascii="仿宋_GB2312" w:eastAsia="仿宋_GB2312" w:cs="仿宋_GB2312" w:hint="eastAsia"/>
          <w:b w:val="0"/>
          <w:color w:val="auto"/>
          <w:sz w:val="28"/>
          <w:szCs w:val="28"/>
        </w:rPr>
      </w:pPr>
      <w:bookmarkStart w:id="32" w:name="_Toc15377206"/>
      <w:bookmarkStart w:id="33" w:name="_Toc7706"/>
      <w:r>
        <w:rPr>
          <w:rFonts w:ascii="仿宋_GB2312" w:eastAsia="仿宋_GB2312" w:cs="仿宋_GB2312" w:hint="eastAsia"/>
          <w:color w:val="auto"/>
          <w:sz w:val="28"/>
          <w:szCs w:val="28"/>
        </w:rPr>
        <w:t>收</w:t>
      </w:r>
      <w:r>
        <w:rPr>
          <w:rStyle w:val="2Char"/>
          <w:rFonts w:ascii="仿宋_GB2312" w:eastAsia="仿宋_GB2312" w:cs="仿宋_GB2312" w:hint="eastAsia"/>
          <w:b w:val="0"/>
          <w:color w:val="auto"/>
          <w:sz w:val="28"/>
          <w:szCs w:val="28"/>
        </w:rPr>
        <w:t>入决算情况说明</w:t>
      </w:r>
      <w:bookmarkEnd w:id="32"/>
      <w:bookmarkEnd w:id="33"/>
    </w:p>
    <w:p>
      <w:pPr>
        <w:spacing w:line="600" w:lineRule="exact"/>
        <w:ind w:firstLineChars="200" w:firstLine="420"/>
        <w:rPr>
          <w:rFonts w:ascii="仿宋_GB2312" w:eastAsia="仿宋_GB2312" w:cs="仿宋_GB2312" w:hint="eastAsia"/>
          <w:color w:val="auto"/>
          <w:sz w:val="28"/>
          <w:szCs w:val="28"/>
        </w:rPr>
      </w:pPr>
      <w:r>
        <w:drawing>
          <wp:anchor distT="0" distB="0" distL="114300" distR="114300" simplePos="0" relativeHeight="23" behindDoc="0" locked="0" layoutInCell="1" hidden="0" allowOverlap="1">
            <wp:simplePos x="0" y="0"/>
            <wp:positionH relativeFrom="column">
              <wp:posOffset>2913379</wp:posOffset>
            </wp:positionH>
            <wp:positionV relativeFrom="paragraph">
              <wp:posOffset>974725</wp:posOffset>
            </wp:positionV>
            <wp:extent cx="2310130" cy="1817370"/>
            <wp:effectExtent l="0" t="0" r="0" b="0"/>
            <wp:wrapTight wrapText="bothSides">
              <wp:wrapPolygon>
                <wp:start x="-77" y="-76"/>
                <wp:lineTo x="-77" y="21545"/>
                <wp:lineTo x="21563" y="21545"/>
                <wp:lineTo x="21563" y="-76"/>
                <wp:lineTo x="-77" y="-76"/>
              </wp:wrapPolygon>
            </wp:wrapTight>
            <wp:docPr id="3" name="图表 5"/>
            <wp:cNvGraphicFramePr>
              <a:graphicFrameLocks noChangeAspect="0"/>
            </wp:cNvGraphicFramePr>
            <a:graphic>
              <a:graphicData uri="http://schemas.openxmlformats.org/drawingml/2006/chart">
                <c:chart xmlns:c="http://schemas.openxmlformats.org/drawingml/2006/chart" r:id="rId6"/>
              </a:graphicData>
            </a:graphic>
          </wp:anchor>
        </w:drawing>
      </w: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本年收入合计</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万元，其中：一般公共预算财政拨款收入</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100</w:t>
      </w:r>
      <w:r>
        <w:rPr>
          <w:rFonts w:ascii="仿宋_GB2312" w:eastAsia="仿宋_GB2312" w:cs="仿宋_GB2312" w:hint="eastAsia"/>
          <w:color w:val="auto"/>
          <w:sz w:val="28"/>
          <w:szCs w:val="28"/>
        </w:rPr>
        <w:t>%；政府性基金预算财政拨款收入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%；国有资本经营预算财政拨款收入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%；事业收入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%；经营收入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%；附属单位上缴收入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%；其他收入</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%。（图2：收入决算结构图）（饼状图）</w:t>
      </w:r>
    </w:p>
    <w:p>
      <w:pPr>
        <w:pStyle w:val="24"/>
        <w:numPr>
          <w:ilvl w:val="0"/>
          <w:numId w:val="1"/>
        </w:numPr>
        <w:spacing w:line="600" w:lineRule="exact"/>
        <w:ind w:left="1350"/>
        <w:outlineLvl w:val="1"/>
        <w:rPr>
          <w:rStyle w:val="2Char"/>
          <w:rFonts w:ascii="仿宋_GB2312" w:eastAsia="仿宋_GB2312" w:cs="仿宋_GB2312" w:hint="eastAsia"/>
          <w:b w:val="0"/>
          <w:color w:val="auto"/>
          <w:sz w:val="28"/>
          <w:szCs w:val="28"/>
        </w:rPr>
      </w:pPr>
      <w:bookmarkStart w:id="34" w:name="_Toc15377207"/>
      <w:bookmarkStart w:id="35" w:name="_Toc12535"/>
      <w:r>
        <w:rPr>
          <w:rFonts w:ascii="仿宋_GB2312" w:eastAsia="仿宋_GB2312" w:cs="仿宋_GB2312" w:hint="eastAsia"/>
          <w:color w:val="auto"/>
          <w:sz w:val="28"/>
          <w:szCs w:val="28"/>
        </w:rPr>
        <w:t>支</w:t>
      </w:r>
      <w:r>
        <w:rPr>
          <w:rStyle w:val="2Char"/>
          <w:rFonts w:ascii="仿宋_GB2312" w:eastAsia="仿宋_GB2312" w:cs="仿宋_GB2312" w:hint="eastAsia"/>
          <w:b w:val="0"/>
          <w:color w:val="auto"/>
          <w:sz w:val="28"/>
          <w:szCs w:val="28"/>
        </w:rPr>
        <w:t>出决算情况说明</w:t>
      </w:r>
      <w:bookmarkEnd w:id="34"/>
      <w:bookmarkEnd w:id="35"/>
    </w:p>
    <w:p>
      <w:pPr>
        <w:spacing w:line="60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本年支出合计</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万元，其中：基本支出</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100</w:t>
      </w:r>
      <w:r>
        <w:rPr>
          <w:rFonts w:ascii="仿宋_GB2312" w:eastAsia="仿宋_GB2312" w:cs="仿宋_GB2312" w:hint="eastAsia"/>
          <w:color w:val="auto"/>
          <w:sz w:val="28"/>
          <w:szCs w:val="28"/>
        </w:rPr>
        <w:t>%；项目支出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%；上缴上级支出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%；经营支出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%；对附属单位补助支出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%。（图3：支出决算结构图）（饼状图）</w:t>
      </w:r>
    </w:p>
    <w:p>
      <w:pPr>
        <w:spacing w:line="600" w:lineRule="exact"/>
        <w:ind w:firstLineChars="200" w:firstLine="420"/>
        <w:rPr>
          <w:rFonts w:ascii="仿宋_GB2312" w:eastAsia="仿宋_GB2312" w:cs="仿宋_GB2312" w:hint="eastAsia"/>
          <w:color w:val="auto"/>
          <w:sz w:val="28"/>
          <w:szCs w:val="28"/>
        </w:rPr>
      </w:pPr>
      <w:r>
        <w:drawing>
          <wp:anchor distT="0" distB="0" distL="114300" distR="114300" simplePos="0" relativeHeight="25" behindDoc="0" locked="0" layoutInCell="1" hidden="0" allowOverlap="1">
            <wp:simplePos x="0" y="0"/>
            <wp:positionH relativeFrom="column">
              <wp:posOffset>360680</wp:posOffset>
            </wp:positionH>
            <wp:positionV relativeFrom="paragraph">
              <wp:posOffset>76835</wp:posOffset>
            </wp:positionV>
            <wp:extent cx="2310130" cy="1817370"/>
            <wp:effectExtent l="0" t="0" r="0" b="0"/>
            <wp:wrapTight wrapText="bothSides">
              <wp:wrapPolygon>
                <wp:start x="-77" y="-8"/>
                <wp:lineTo x="-77" y="21501"/>
                <wp:lineTo x="21563" y="21501"/>
                <wp:lineTo x="21563" y="-8"/>
                <wp:lineTo x="-77" y="-8"/>
              </wp:wrapPolygon>
            </wp:wrapTight>
            <wp:docPr id="4" name="图表 6"/>
            <wp:cNvGraphicFramePr>
              <a:graphicFrameLocks noChangeAspect="0"/>
            </wp:cNvGraphicFramePr>
            <a:graphic>
              <a:graphicData uri="http://schemas.openxmlformats.org/drawingml/2006/chart">
                <c:chart xmlns:c="http://schemas.openxmlformats.org/drawingml/2006/chart" r:id="rId7"/>
              </a:graphicData>
            </a:graphic>
          </wp:anchor>
        </w:drawing>
      </w:r>
    </w:p>
    <w:p>
      <w:pPr>
        <w:spacing w:line="600" w:lineRule="exact"/>
        <w:ind w:firstLineChars="200" w:firstLine="560"/>
        <w:rPr>
          <w:rFonts w:ascii="仿宋_GB2312" w:eastAsia="仿宋_GB2312" w:cs="仿宋_GB2312" w:hint="eastAsia"/>
          <w:color w:val="auto"/>
          <w:sz w:val="28"/>
          <w:szCs w:val="28"/>
        </w:rPr>
      </w:pPr>
    </w:p>
    <w:p>
      <w:pPr>
        <w:spacing w:line="600" w:lineRule="exact"/>
        <w:ind w:firstLineChars="200" w:firstLine="560"/>
        <w:rPr>
          <w:rFonts w:ascii="仿宋_GB2312" w:eastAsia="仿宋_GB2312" w:cs="仿宋_GB2312" w:hint="eastAsia"/>
          <w:color w:val="auto"/>
          <w:sz w:val="28"/>
          <w:szCs w:val="28"/>
        </w:rPr>
      </w:pPr>
    </w:p>
    <w:p>
      <w:pPr>
        <w:spacing w:line="600" w:lineRule="exact"/>
        <w:ind w:firstLineChars="200" w:firstLine="560"/>
        <w:rPr>
          <w:rFonts w:ascii="仿宋_GB2312" w:eastAsia="仿宋_GB2312" w:cs="仿宋_GB2312" w:hint="eastAsia"/>
          <w:color w:val="auto"/>
          <w:sz w:val="28"/>
          <w:szCs w:val="28"/>
        </w:rPr>
      </w:pPr>
    </w:p>
    <w:p>
      <w:pPr>
        <w:pStyle w:val="15"/>
        <w:ind w:leftChars="0" w:left="0" w:firstLine="0"/>
        <w:rPr>
          <w:rFonts w:ascii="仿宋_GB2312" w:eastAsia="仿宋_GB2312" w:cs="仿宋_GB2312" w:hint="eastAsia"/>
          <w:color w:val="auto"/>
          <w:sz w:val="28"/>
          <w:szCs w:val="28"/>
        </w:rPr>
      </w:pPr>
    </w:p>
    <w:p>
      <w:pPr>
        <w:spacing w:line="600" w:lineRule="exact"/>
        <w:ind w:firstLineChars="200" w:firstLine="560"/>
        <w:outlineLvl w:val="1"/>
        <w:rPr>
          <w:rFonts w:ascii="仿宋_GB2312" w:eastAsia="仿宋_GB2312" w:cs="仿宋_GB2312" w:hint="eastAsia"/>
          <w:color w:val="auto"/>
          <w:sz w:val="28"/>
          <w:szCs w:val="28"/>
        </w:rPr>
      </w:pPr>
      <w:bookmarkStart w:id="36" w:name="_Toc14516"/>
      <w:bookmarkStart w:id="37" w:name="_Toc15377208"/>
      <w:r>
        <w:rPr>
          <w:rFonts w:ascii="仿宋_GB2312" w:eastAsia="仿宋_GB2312" w:cs="仿宋_GB2312" w:hint="eastAsia"/>
          <w:color w:val="auto"/>
          <w:sz w:val="28"/>
          <w:szCs w:val="28"/>
        </w:rPr>
        <w:t>四、财</w:t>
      </w:r>
      <w:r>
        <w:rPr>
          <w:rStyle w:val="2Char"/>
          <w:rFonts w:ascii="仿宋_GB2312" w:eastAsia="仿宋_GB2312" w:cs="仿宋_GB2312" w:hint="eastAsia"/>
          <w:b w:val="0"/>
          <w:color w:val="auto"/>
          <w:sz w:val="28"/>
          <w:szCs w:val="28"/>
        </w:rPr>
        <w:t>政拨款收入支出决算总体情况说明</w:t>
      </w:r>
      <w:bookmarkEnd w:id="36"/>
      <w:bookmarkEnd w:id="37"/>
    </w:p>
    <w:p>
      <w:pPr>
        <w:spacing w:line="60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drawing>
          <wp:anchor distT="0" distB="0" distL="114300" distR="114300" simplePos="0" relativeHeight="27" behindDoc="0" locked="0" layoutInCell="1" hidden="0" allowOverlap="1">
            <wp:simplePos x="0" y="0"/>
            <wp:positionH relativeFrom="column">
              <wp:posOffset>85089</wp:posOffset>
            </wp:positionH>
            <wp:positionV relativeFrom="paragraph">
              <wp:posOffset>1913889</wp:posOffset>
            </wp:positionV>
            <wp:extent cx="2632710" cy="2478404"/>
            <wp:effectExtent l="0" t="0" r="0" b="0"/>
            <wp:wrapTight wrapText="bothSides">
              <wp:wrapPolygon>
                <wp:start x="-73" y="-45"/>
                <wp:lineTo x="-73" y="21537"/>
                <wp:lineTo x="21573" y="21537"/>
                <wp:lineTo x="21573" y="-45"/>
                <wp:lineTo x="-73" y="-45"/>
              </wp:wrapPolygon>
            </wp:wrapTight>
            <wp:docPr id="5" name="图表 7"/>
            <wp:cNvGraphicFramePr>
              <a:graphicFrameLocks noChangeAspect="0"/>
            </wp:cNvGraphicFramePr>
            <a:graphic>
              <a:graphicData uri="http://schemas.openxmlformats.org/drawingml/2006/chart">
                <c:chart xmlns:c="http://schemas.openxmlformats.org/drawingml/2006/chart" r:id="rId8"/>
              </a:graphicData>
            </a:graphic>
          </wp:anchor>
        </w:drawing>
      </w: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财政拨款收</w:t>
      </w:r>
      <w:r>
        <w:rPr>
          <w:rFonts w:ascii="仿宋_GB2312" w:eastAsia="仿宋_GB2312" w:cs="仿宋_GB2312" w:hint="eastAsia"/>
          <w:color w:val="auto"/>
          <w:sz w:val="28"/>
          <w:szCs w:val="28"/>
          <w:lang w:eastAsia="zh-CN"/>
        </w:rPr>
        <w:t>入总计</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万元、支</w:t>
      </w:r>
      <w:r>
        <w:rPr>
          <w:rFonts w:ascii="仿宋_GB2312" w:eastAsia="仿宋_GB2312" w:cs="仿宋_GB2312" w:hint="eastAsia"/>
          <w:color w:val="auto"/>
          <w:sz w:val="28"/>
          <w:szCs w:val="28"/>
          <w:lang w:eastAsia="zh-CN"/>
        </w:rPr>
        <w:t>出</w:t>
      </w:r>
      <w:r>
        <w:rPr>
          <w:rFonts w:ascii="仿宋_GB2312" w:eastAsia="仿宋_GB2312" w:cs="仿宋_GB2312" w:hint="eastAsia"/>
          <w:color w:val="auto"/>
          <w:sz w:val="28"/>
          <w:szCs w:val="28"/>
        </w:rPr>
        <w:t>总计</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万元。与</w:t>
      </w:r>
      <w:r>
        <w:rPr>
          <w:rFonts w:ascii="仿宋_GB2312" w:eastAsia="仿宋_GB2312" w:cs="仿宋_GB2312" w:hint="eastAsia"/>
          <w:color w:val="auto"/>
          <w:sz w:val="28"/>
          <w:szCs w:val="28"/>
          <w:lang w:eastAsia="zh-CN"/>
        </w:rPr>
        <w:t>2019年</w:t>
      </w:r>
      <w:r>
        <w:rPr>
          <w:rFonts w:ascii="仿宋_GB2312" w:eastAsia="仿宋_GB2312" w:cs="仿宋_GB2312" w:hint="eastAsia"/>
          <w:color w:val="auto"/>
          <w:sz w:val="28"/>
          <w:szCs w:val="28"/>
        </w:rPr>
        <w:t>相比，财政拨款收</w:t>
      </w:r>
      <w:r>
        <w:rPr>
          <w:rFonts w:ascii="仿宋_GB2312" w:eastAsia="仿宋_GB2312" w:cs="仿宋_GB2312" w:hint="eastAsia"/>
          <w:color w:val="auto"/>
          <w:sz w:val="28"/>
          <w:szCs w:val="28"/>
          <w:lang w:eastAsia="zh-CN"/>
        </w:rPr>
        <w:t>入</w:t>
      </w:r>
      <w:r>
        <w:rPr>
          <w:rFonts w:ascii="仿宋_GB2312" w:eastAsia="仿宋_GB2312" w:cs="仿宋_GB2312" w:hint="eastAsia"/>
          <w:color w:val="auto"/>
          <w:sz w:val="28"/>
          <w:szCs w:val="28"/>
        </w:rPr>
        <w:t>总计</w:t>
      </w:r>
      <w:r>
        <w:rPr>
          <w:rFonts w:ascii="仿宋_GB2312" w:eastAsia="仿宋_GB2312" w:cs="仿宋_GB2312" w:hint="eastAsia"/>
          <w:color w:val="auto"/>
          <w:sz w:val="28"/>
          <w:szCs w:val="28"/>
          <w:lang w:eastAsia="zh-CN"/>
        </w:rPr>
        <w:t>减少</w:t>
      </w:r>
      <w:r>
        <w:rPr>
          <w:rFonts w:ascii="仿宋_GB2312" w:eastAsia="仿宋_GB2312" w:cs="仿宋_GB2312" w:hint="eastAsia"/>
          <w:color w:val="auto"/>
          <w:sz w:val="28"/>
          <w:szCs w:val="28"/>
          <w:lang w:val="en-US" w:eastAsia="zh-CN"/>
        </w:rPr>
        <w:t>0.11</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，降低</w:t>
      </w:r>
      <w:r>
        <w:rPr>
          <w:rFonts w:ascii="仿宋_GB2312" w:eastAsia="仿宋_GB2312" w:cs="仿宋_GB2312" w:hint="eastAsia"/>
          <w:color w:val="auto"/>
          <w:sz w:val="28"/>
          <w:szCs w:val="28"/>
          <w:lang w:val="en-US" w:eastAsia="zh-CN"/>
        </w:rPr>
        <w:t>0.4%</w:t>
      </w:r>
      <w:r>
        <w:rPr>
          <w:rFonts w:ascii="仿宋_GB2312" w:eastAsia="仿宋_GB2312" w:cs="仿宋_GB2312" w:hint="eastAsia"/>
          <w:color w:val="auto"/>
          <w:sz w:val="28"/>
          <w:szCs w:val="28"/>
          <w:lang w:eastAsia="zh-CN"/>
        </w:rPr>
        <w:t>，</w:t>
      </w:r>
      <w:r>
        <w:rPr>
          <w:rFonts w:ascii="仿宋_GB2312" w:eastAsia="仿宋_GB2312" w:cs="仿宋_GB2312" w:hint="eastAsia"/>
          <w:color w:val="auto"/>
          <w:sz w:val="28"/>
          <w:szCs w:val="28"/>
        </w:rPr>
        <w:t>支</w:t>
      </w:r>
      <w:r>
        <w:rPr>
          <w:rFonts w:ascii="仿宋_GB2312" w:eastAsia="仿宋_GB2312" w:cs="仿宋_GB2312" w:hint="eastAsia"/>
          <w:color w:val="auto"/>
          <w:sz w:val="28"/>
          <w:szCs w:val="28"/>
          <w:lang w:eastAsia="zh-CN"/>
        </w:rPr>
        <w:t>出</w:t>
      </w:r>
      <w:r>
        <w:rPr>
          <w:rFonts w:ascii="仿宋_GB2312" w:eastAsia="仿宋_GB2312" w:cs="仿宋_GB2312" w:hint="eastAsia"/>
          <w:color w:val="auto"/>
          <w:sz w:val="28"/>
          <w:szCs w:val="28"/>
        </w:rPr>
        <w:t>总计</w:t>
      </w:r>
      <w:r>
        <w:rPr>
          <w:rFonts w:ascii="仿宋_GB2312" w:eastAsia="仿宋_GB2312" w:cs="仿宋_GB2312" w:hint="eastAsia"/>
          <w:color w:val="auto"/>
          <w:sz w:val="28"/>
          <w:szCs w:val="28"/>
          <w:lang w:eastAsia="zh-CN"/>
        </w:rPr>
        <w:t>减少</w:t>
      </w:r>
      <w:r>
        <w:rPr>
          <w:rFonts w:ascii="仿宋_GB2312" w:eastAsia="仿宋_GB2312" w:cs="仿宋_GB2312" w:hint="eastAsia"/>
          <w:color w:val="auto"/>
          <w:sz w:val="28"/>
          <w:szCs w:val="28"/>
          <w:lang w:val="en-US" w:eastAsia="zh-CN"/>
        </w:rPr>
        <w:t>0.11</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降低</w:t>
      </w:r>
      <w:r>
        <w:rPr>
          <w:rFonts w:ascii="仿宋_GB2312" w:eastAsia="仿宋_GB2312" w:cs="仿宋_GB2312" w:hint="eastAsia"/>
          <w:color w:val="auto"/>
          <w:sz w:val="28"/>
          <w:szCs w:val="28"/>
          <w:lang w:val="en-US" w:eastAsia="zh-CN"/>
        </w:rPr>
        <w:t>0.4%</w:t>
      </w:r>
      <w:r>
        <w:rPr>
          <w:rFonts w:ascii="仿宋_GB2312" w:eastAsia="仿宋_GB2312" w:cs="仿宋_GB2312" w:hint="eastAsia"/>
          <w:color w:val="auto"/>
          <w:sz w:val="28"/>
          <w:szCs w:val="28"/>
        </w:rPr>
        <w:t>。（图4：财政拨款收、支决算总计变动情况）</w:t>
      </w:r>
    </w:p>
    <w:p>
      <w:pPr>
        <w:spacing w:line="60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drawing>
          <wp:anchor distT="0" distB="0" distL="114300" distR="114300" simplePos="0" relativeHeight="29" behindDoc="0" locked="0" layoutInCell="1" hidden="0" allowOverlap="1">
            <wp:simplePos x="0" y="0"/>
            <wp:positionH relativeFrom="column">
              <wp:posOffset>2821305</wp:posOffset>
            </wp:positionH>
            <wp:positionV relativeFrom="paragraph">
              <wp:posOffset>412749</wp:posOffset>
            </wp:positionV>
            <wp:extent cx="2332355" cy="2458085"/>
            <wp:effectExtent l="0" t="0" r="0" b="0"/>
            <wp:wrapTight wrapText="bothSides">
              <wp:wrapPolygon>
                <wp:start x="-18" y="-79"/>
                <wp:lineTo x="-18" y="21598"/>
                <wp:lineTo x="21593" y="21598"/>
                <wp:lineTo x="21593" y="-79"/>
                <wp:lineTo x="-18" y="-79"/>
              </wp:wrapPolygon>
            </wp:wrapTight>
            <wp:docPr id="6" name="图表 9"/>
            <wp:cNvGraphicFramePr>
              <a:graphicFrameLocks noChangeAspect="0"/>
            </wp:cNvGraphicFramePr>
            <a:graphic>
              <a:graphicData uri="http://schemas.openxmlformats.org/drawingml/2006/chart">
                <c:chart xmlns:c="http://schemas.openxmlformats.org/drawingml/2006/chart" r:id="rId9"/>
              </a:graphicData>
            </a:graphic>
          </wp:anchor>
        </w:drawing>
      </w:r>
    </w:p>
    <w:p>
      <w:pPr>
        <w:spacing w:line="600" w:lineRule="exact"/>
        <w:ind w:firstLineChars="200" w:firstLine="560"/>
        <w:outlineLvl w:val="1"/>
        <w:rPr>
          <w:rFonts w:ascii="仿宋_GB2312" w:eastAsia="仿宋_GB2312" w:cs="仿宋_GB2312" w:hint="eastAsia"/>
          <w:b/>
          <w:color w:val="auto"/>
          <w:sz w:val="28"/>
          <w:szCs w:val="28"/>
        </w:rPr>
      </w:pPr>
      <w:bookmarkStart w:id="38" w:name="_Toc4401"/>
      <w:bookmarkStart w:id="39" w:name="_Toc15377209"/>
      <w:r>
        <w:rPr>
          <w:rFonts w:ascii="仿宋_GB2312" w:eastAsia="仿宋_GB2312" w:cs="仿宋_GB2312" w:hint="eastAsia"/>
          <w:color w:val="auto"/>
          <w:sz w:val="28"/>
          <w:szCs w:val="28"/>
        </w:rPr>
        <w:t>五、</w:t>
      </w:r>
      <w:r>
        <w:rPr>
          <w:rFonts w:ascii="仿宋_GB2312" w:eastAsia="仿宋_GB2312" w:cs="仿宋_GB2312" w:hint="eastAsia"/>
          <w:b/>
          <w:color w:val="auto"/>
          <w:sz w:val="28"/>
          <w:szCs w:val="28"/>
        </w:rPr>
        <w:t>一</w:t>
      </w:r>
      <w:r>
        <w:rPr>
          <w:rStyle w:val="2Char"/>
          <w:rFonts w:ascii="仿宋_GB2312" w:eastAsia="仿宋_GB2312" w:cs="仿宋_GB2312" w:hint="eastAsia"/>
          <w:b w:val="0"/>
          <w:color w:val="auto"/>
          <w:sz w:val="28"/>
          <w:szCs w:val="28"/>
        </w:rPr>
        <w:t>般公共预算财政拨款支出决算情况说明</w:t>
      </w:r>
      <w:bookmarkStart w:id="40" w:name="_Toc15377210"/>
      <w:bookmarkEnd w:id="38"/>
      <w:bookmarkEnd w:id="39"/>
    </w:p>
    <w:p>
      <w:pPr>
        <w:spacing w:line="600" w:lineRule="exact"/>
        <w:ind w:firstLineChars="200" w:firstLine="560"/>
        <w:outlineLvl w:val="2"/>
        <w:rPr>
          <w:rFonts w:ascii="仿宋_GB2312" w:eastAsia="仿宋_GB2312" w:cs="仿宋_GB2312" w:hint="eastAsia"/>
          <w:b/>
          <w:color w:val="auto"/>
          <w:sz w:val="28"/>
          <w:szCs w:val="28"/>
        </w:rPr>
      </w:pPr>
      <w:r>
        <w:rPr>
          <w:rFonts w:ascii="仿宋_GB2312" w:eastAsia="仿宋_GB2312" w:cs="仿宋_GB2312" w:hint="eastAsia"/>
          <w:b/>
          <w:color w:val="auto"/>
          <w:sz w:val="28"/>
          <w:szCs w:val="28"/>
        </w:rPr>
        <w:t>（一）一般公共预算财政拨款支出决算总体情况</w:t>
      </w:r>
      <w:bookmarkEnd w:id="40"/>
    </w:p>
    <w:p>
      <w:pPr>
        <w:spacing w:line="60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一般公共预算财政拨款支出</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万元，占本年支出合计的</w:t>
      </w:r>
      <w:r>
        <w:rPr>
          <w:rFonts w:ascii="仿宋_GB2312" w:eastAsia="仿宋_GB2312" w:cs="仿宋_GB2312" w:hint="eastAsia"/>
          <w:color w:val="auto"/>
          <w:sz w:val="28"/>
          <w:szCs w:val="28"/>
          <w:lang w:val="en-US" w:eastAsia="zh-CN"/>
        </w:rPr>
        <w:t>100</w:t>
      </w:r>
      <w:r>
        <w:rPr>
          <w:rFonts w:ascii="仿宋_GB2312" w:eastAsia="仿宋_GB2312" w:cs="仿宋_GB2312" w:hint="eastAsia"/>
          <w:color w:val="auto"/>
          <w:sz w:val="28"/>
          <w:szCs w:val="28"/>
        </w:rPr>
        <w:t>%。与</w:t>
      </w:r>
      <w:r>
        <w:rPr>
          <w:rFonts w:ascii="仿宋_GB2312" w:eastAsia="仿宋_GB2312" w:cs="仿宋_GB2312" w:hint="eastAsia"/>
          <w:color w:val="auto"/>
          <w:sz w:val="28"/>
          <w:szCs w:val="28"/>
          <w:lang w:eastAsia="zh-CN"/>
        </w:rPr>
        <w:t>2019年</w:t>
      </w:r>
      <w:r>
        <w:rPr>
          <w:rFonts w:ascii="仿宋_GB2312" w:eastAsia="仿宋_GB2312" w:cs="仿宋_GB2312" w:hint="eastAsia"/>
          <w:color w:val="auto"/>
          <w:sz w:val="28"/>
          <w:szCs w:val="28"/>
        </w:rPr>
        <w:t>相比，一般公共预算财政拨</w:t>
      </w:r>
      <w:r>
        <w:rPr>
          <w:rFonts w:ascii="仿宋_GB2312" w:eastAsia="仿宋_GB2312" w:cs="仿宋_GB2312" w:hint="eastAsia"/>
          <w:color w:val="auto"/>
          <w:sz w:val="28"/>
          <w:szCs w:val="28"/>
          <w:lang w:eastAsia="zh-CN"/>
        </w:rPr>
        <w:t>减少</w:t>
      </w:r>
      <w:r>
        <w:rPr>
          <w:rFonts w:ascii="仿宋_GB2312" w:eastAsia="仿宋_GB2312" w:cs="仿宋_GB2312" w:hint="eastAsia"/>
          <w:color w:val="auto"/>
          <w:sz w:val="28"/>
          <w:szCs w:val="28"/>
          <w:lang w:val="en-US" w:eastAsia="zh-CN"/>
        </w:rPr>
        <w:t>0.11</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降低</w:t>
      </w:r>
      <w:r>
        <w:rPr>
          <w:rFonts w:ascii="仿宋_GB2312" w:eastAsia="仿宋_GB2312" w:cs="仿宋_GB2312" w:hint="eastAsia"/>
          <w:color w:val="auto"/>
          <w:sz w:val="28"/>
          <w:szCs w:val="28"/>
          <w:lang w:val="en-US" w:eastAsia="zh-CN"/>
        </w:rPr>
        <w:t>0.4</w:t>
      </w:r>
      <w:r>
        <w:rPr>
          <w:rFonts w:ascii="仿宋_GB2312" w:eastAsia="仿宋_GB2312" w:cs="仿宋_GB2312" w:hint="eastAsia"/>
          <w:color w:val="auto"/>
          <w:sz w:val="28"/>
          <w:szCs w:val="28"/>
        </w:rPr>
        <w:t>%。（图5：一般公共预算财政拨款支出决算变动情况）</w:t>
      </w:r>
    </w:p>
    <w:p>
      <w:pPr>
        <w:spacing w:line="60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drawing>
          <wp:anchor distT="0" distB="0" distL="114300" distR="114300" simplePos="0" relativeHeight="31" behindDoc="0" locked="0" layoutInCell="1" hidden="0" allowOverlap="1">
            <wp:simplePos x="0" y="0"/>
            <wp:positionH relativeFrom="column">
              <wp:posOffset>303530</wp:posOffset>
            </wp:positionH>
            <wp:positionV relativeFrom="paragraph">
              <wp:posOffset>144145</wp:posOffset>
            </wp:positionV>
            <wp:extent cx="2639060" cy="2708910"/>
            <wp:effectExtent l="0" t="0" r="0" b="0"/>
            <wp:wrapTight wrapText="bothSides">
              <wp:wrapPolygon>
                <wp:start x="-67" y="-10"/>
                <wp:lineTo x="-67" y="21558"/>
                <wp:lineTo x="21526" y="21558"/>
                <wp:lineTo x="21526" y="-10"/>
                <wp:lineTo x="-67" y="-10"/>
              </wp:wrapPolygon>
            </wp:wrapTight>
            <wp:docPr id="7" name="图表 10"/>
            <wp:cNvGraphicFramePr>
              <a:graphicFrameLocks noChangeAspect="0"/>
            </wp:cNvGraphicFramePr>
            <a:graphic>
              <a:graphicData uri="http://schemas.openxmlformats.org/drawingml/2006/chart">
                <c:chart xmlns:c="http://schemas.openxmlformats.org/drawingml/2006/chart" r:id="rId10"/>
              </a:graphicData>
            </a:graphic>
          </wp:anchor>
        </w:drawing>
      </w:r>
    </w:p>
    <w:p>
      <w:pPr>
        <w:spacing w:line="600" w:lineRule="exact"/>
        <w:ind w:firstLineChars="200" w:firstLine="560"/>
        <w:rPr>
          <w:rFonts w:ascii="仿宋_GB2312" w:eastAsia="仿宋_GB2312" w:cs="仿宋_GB2312" w:hint="eastAsia"/>
          <w:color w:val="auto"/>
          <w:sz w:val="28"/>
          <w:szCs w:val="28"/>
        </w:rPr>
      </w:pPr>
    </w:p>
    <w:p>
      <w:pPr>
        <w:spacing w:line="600" w:lineRule="exact"/>
        <w:ind w:firstLineChars="200" w:firstLine="560"/>
        <w:rPr>
          <w:rFonts w:ascii="仿宋_GB2312" w:eastAsia="仿宋_GB2312" w:cs="仿宋_GB2312" w:hint="eastAsia"/>
          <w:color w:val="auto"/>
          <w:sz w:val="28"/>
          <w:szCs w:val="28"/>
        </w:rPr>
      </w:pPr>
    </w:p>
    <w:p>
      <w:pPr>
        <w:spacing w:line="600" w:lineRule="exact"/>
        <w:ind w:firstLineChars="200" w:firstLine="560"/>
        <w:rPr>
          <w:rFonts w:ascii="仿宋_GB2312" w:eastAsia="仿宋_GB2312" w:cs="仿宋_GB2312" w:hint="eastAsia"/>
          <w:color w:val="auto"/>
          <w:sz w:val="28"/>
          <w:szCs w:val="28"/>
        </w:rPr>
      </w:pPr>
    </w:p>
    <w:p>
      <w:pPr>
        <w:spacing w:line="600" w:lineRule="exact"/>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spacing w:line="600" w:lineRule="exact"/>
        <w:outlineLvl w:val="2"/>
        <w:rPr>
          <w:rFonts w:ascii="仿宋_GB2312" w:eastAsia="仿宋_GB2312" w:cs="仿宋_GB2312" w:hint="eastAsia"/>
          <w:b/>
          <w:color w:val="auto"/>
          <w:sz w:val="28"/>
          <w:szCs w:val="28"/>
        </w:rPr>
      </w:pPr>
      <w:bookmarkStart w:id="41" w:name="_Toc15377211"/>
    </w:p>
    <w:p>
      <w:pPr>
        <w:spacing w:line="600" w:lineRule="exact"/>
        <w:ind w:firstLineChars="200" w:firstLine="560"/>
        <w:outlineLvl w:val="2"/>
        <w:rPr>
          <w:rFonts w:ascii="仿宋_GB2312" w:eastAsia="仿宋_GB2312" w:cs="仿宋_GB2312" w:hint="eastAsia"/>
          <w:b/>
          <w:color w:val="auto"/>
          <w:sz w:val="28"/>
          <w:szCs w:val="28"/>
        </w:rPr>
      </w:pPr>
      <w:r>
        <w:rPr>
          <w:rFonts w:ascii="仿宋_GB2312" w:eastAsia="仿宋_GB2312" w:cs="仿宋_GB2312" w:hint="eastAsia"/>
          <w:b/>
          <w:color w:val="auto"/>
          <w:sz w:val="28"/>
          <w:szCs w:val="28"/>
        </w:rPr>
        <w:t>（二）一般公共预算财政拨款支出决算结构情况</w:t>
      </w:r>
      <w:bookmarkEnd w:id="41"/>
    </w:p>
    <w:p>
      <w:pPr>
        <w:pageBreakBefore w:val="0"/>
        <w:widowControl w:val="0"/>
        <w:kinsoku/>
        <w:wordWrap/>
        <w:overflowPunct/>
        <w:topLinePunct w:val="0"/>
        <w:bidi w:val="0"/>
        <w:spacing w:line="576" w:lineRule="exact"/>
        <w:ind w:firstLine="640"/>
        <w:textAlignment w:val="auto"/>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一般公共预算财政拨款支出</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万元，主要用于以下方面:</w:t>
      </w:r>
    </w:p>
    <w:p>
      <w:pPr>
        <w:pageBreakBefore w:val="0"/>
        <w:widowControl w:val="0"/>
        <w:kinsoku/>
        <w:wordWrap/>
        <w:overflowPunct/>
        <w:topLinePunct w:val="0"/>
        <w:bidi w:val="0"/>
        <w:spacing w:line="576" w:lineRule="exact"/>
        <w:ind w:firstLine="640"/>
        <w:textAlignment w:val="auto"/>
        <w:rPr>
          <w:rFonts w:ascii="仿宋_GB2312" w:eastAsia="仿宋_GB2312" w:cs="仿宋_GB2312" w:hint="eastAsia"/>
          <w:b/>
          <w:color w:val="auto"/>
          <w:sz w:val="28"/>
          <w:szCs w:val="28"/>
        </w:rPr>
      </w:pPr>
      <w:r>
        <w:rPr>
          <w:rFonts w:ascii="仿宋_GB2312" w:eastAsia="仿宋_GB2312" w:cs="仿宋_GB2312" w:hint="eastAsia"/>
          <w:color w:val="auto"/>
          <w:sz w:val="28"/>
          <w:szCs w:val="28"/>
          <w:lang w:eastAsia="zh-CN"/>
        </w:rPr>
        <w:drawing>
          <wp:anchor distT="0" distB="0" distL="114300" distR="114300" simplePos="0" relativeHeight="33" behindDoc="0" locked="0" layoutInCell="1" hidden="0" allowOverlap="1">
            <wp:simplePos x="0" y="0"/>
            <wp:positionH relativeFrom="column">
              <wp:posOffset>3447415</wp:posOffset>
            </wp:positionH>
            <wp:positionV relativeFrom="paragraph">
              <wp:posOffset>419100</wp:posOffset>
            </wp:positionV>
            <wp:extent cx="1855469" cy="2049144"/>
            <wp:effectExtent l="0" t="0" r="0" b="0"/>
            <wp:wrapTight wrapText="bothSides">
              <wp:wrapPolygon>
                <wp:start x="-104" y="-1"/>
                <wp:lineTo x="-104" y="21585"/>
                <wp:lineTo x="21517" y="21585"/>
                <wp:lineTo x="21517" y="-1"/>
                <wp:lineTo x="-104" y="-1"/>
              </wp:wrapPolygon>
            </wp:wrapTight>
            <wp:docPr id="8" name="图表 11"/>
            <wp:cNvGraphicFramePr>
              <a:graphicFrameLocks noChangeAspect="0"/>
            </wp:cNvGraphicFramePr>
            <a:graphic>
              <a:graphicData uri="http://schemas.openxmlformats.org/drawingml/2006/chart">
                <c:chart xmlns:c="http://schemas.openxmlformats.org/drawingml/2006/chart" r:id="rId11"/>
              </a:graphicData>
            </a:graphic>
          </wp:anchor>
        </w:drawing>
      </w:r>
      <w:r>
        <w:rPr>
          <w:rFonts w:ascii="仿宋_GB2312" w:eastAsia="仿宋_GB2312" w:cs="仿宋_GB2312" w:hint="eastAsia"/>
          <w:b/>
          <w:color w:val="auto"/>
          <w:sz w:val="28"/>
          <w:szCs w:val="28"/>
        </w:rPr>
        <w:t>一般公共服务（类）</w:t>
      </w:r>
      <w:r>
        <w:rPr>
          <w:rFonts w:ascii="仿宋_GB2312" w:eastAsia="仿宋_GB2312" w:cs="仿宋_GB2312" w:hint="eastAsia"/>
          <w:color w:val="auto"/>
          <w:sz w:val="28"/>
          <w:szCs w:val="28"/>
        </w:rPr>
        <w:t>支出</w:t>
      </w:r>
      <w:r>
        <w:rPr>
          <w:rFonts w:ascii="仿宋_GB2312" w:eastAsia="仿宋_GB2312" w:cs="仿宋_GB2312" w:hint="eastAsia"/>
          <w:color w:val="auto"/>
          <w:sz w:val="28"/>
          <w:szCs w:val="28"/>
          <w:lang w:val="en-US" w:eastAsia="zh-CN"/>
        </w:rPr>
        <w:t>19.41</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70.66</w:t>
      </w:r>
      <w:r>
        <w:rPr>
          <w:rFonts w:ascii="仿宋_GB2312" w:eastAsia="仿宋_GB2312" w:cs="仿宋_GB2312" w:hint="eastAsia"/>
          <w:color w:val="auto"/>
          <w:sz w:val="28"/>
          <w:szCs w:val="28"/>
        </w:rPr>
        <w:t>%；</w:t>
      </w:r>
      <w:r>
        <w:rPr>
          <w:rFonts w:ascii="仿宋_GB2312" w:eastAsia="仿宋_GB2312" w:cs="仿宋_GB2312" w:hint="eastAsia"/>
          <w:b/>
          <w:color w:val="auto"/>
          <w:sz w:val="28"/>
          <w:szCs w:val="28"/>
        </w:rPr>
        <w:t>教育支出（类）</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w:t>
      </w:r>
      <w:r>
        <w:rPr>
          <w:rFonts w:ascii="仿宋_GB2312" w:eastAsia="仿宋_GB2312" w:cs="仿宋_GB2312" w:hint="eastAsia"/>
          <w:b/>
          <w:color w:val="auto"/>
          <w:sz w:val="28"/>
          <w:szCs w:val="28"/>
        </w:rPr>
        <w:t>社会保障和就业（类）</w:t>
      </w:r>
      <w:r>
        <w:rPr>
          <w:rFonts w:ascii="仿宋_GB2312" w:eastAsia="仿宋_GB2312" w:cs="仿宋_GB2312" w:hint="eastAsia"/>
          <w:color w:val="auto"/>
          <w:sz w:val="28"/>
          <w:szCs w:val="28"/>
        </w:rPr>
        <w:t>支出</w:t>
      </w:r>
      <w:r>
        <w:rPr>
          <w:rFonts w:ascii="仿宋_GB2312" w:eastAsia="仿宋_GB2312" w:cs="仿宋_GB2312" w:hint="eastAsia"/>
          <w:color w:val="auto"/>
          <w:sz w:val="28"/>
          <w:szCs w:val="28"/>
          <w:lang w:val="en-US" w:eastAsia="zh-CN"/>
        </w:rPr>
        <w:t>1.85</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6.73</w:t>
      </w:r>
      <w:r>
        <w:rPr>
          <w:rFonts w:ascii="仿宋_GB2312" w:eastAsia="仿宋_GB2312" w:cs="仿宋_GB2312" w:hint="eastAsia"/>
          <w:color w:val="auto"/>
          <w:sz w:val="28"/>
          <w:szCs w:val="28"/>
        </w:rPr>
        <w:t>%；</w:t>
      </w:r>
      <w:r>
        <w:rPr>
          <w:rFonts w:ascii="仿宋_GB2312" w:eastAsia="仿宋_GB2312" w:cs="仿宋_GB2312" w:hint="eastAsia"/>
          <w:b/>
          <w:color w:val="auto"/>
          <w:sz w:val="28"/>
          <w:szCs w:val="28"/>
        </w:rPr>
        <w:t>科学技术（类）</w:t>
      </w:r>
      <w:r>
        <w:rPr>
          <w:rFonts w:ascii="仿宋_GB2312" w:eastAsia="仿宋_GB2312" w:cs="仿宋_GB2312" w:hint="eastAsia"/>
          <w:color w:val="auto"/>
          <w:sz w:val="28"/>
          <w:szCs w:val="28"/>
        </w:rPr>
        <w:t>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w:t>
      </w:r>
      <w:r>
        <w:rPr>
          <w:rFonts w:ascii="仿宋_GB2312" w:eastAsia="仿宋_GB2312" w:cs="仿宋_GB2312" w:hint="eastAsia"/>
          <w:b/>
          <w:bCs/>
          <w:color w:val="auto"/>
          <w:sz w:val="28"/>
          <w:szCs w:val="28"/>
        </w:rPr>
        <w:t>卫生</w:t>
      </w:r>
      <w:r>
        <w:rPr>
          <w:rFonts w:ascii="仿宋_GB2312" w:eastAsia="仿宋_GB2312" w:cs="仿宋_GB2312" w:hint="eastAsia"/>
          <w:b/>
          <w:bCs/>
          <w:color w:val="auto"/>
          <w:sz w:val="28"/>
          <w:szCs w:val="28"/>
          <w:lang w:eastAsia="zh-CN"/>
        </w:rPr>
        <w:t>健康</w:t>
      </w:r>
      <w:r>
        <w:rPr>
          <w:rFonts w:ascii="仿宋_GB2312" w:eastAsia="仿宋_GB2312" w:cs="仿宋_GB2312" w:hint="eastAsia"/>
          <w:color w:val="auto"/>
          <w:sz w:val="28"/>
          <w:szCs w:val="28"/>
        </w:rPr>
        <w:t>支出</w:t>
      </w:r>
      <w:r>
        <w:rPr>
          <w:rFonts w:ascii="仿宋_GB2312" w:eastAsia="仿宋_GB2312" w:cs="仿宋_GB2312" w:hint="eastAsia"/>
          <w:color w:val="auto"/>
          <w:sz w:val="28"/>
          <w:szCs w:val="28"/>
          <w:lang w:val="en-US" w:eastAsia="zh-CN"/>
        </w:rPr>
        <w:t>3.77</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13.72</w:t>
      </w:r>
      <w:r>
        <w:rPr>
          <w:rFonts w:ascii="仿宋_GB2312" w:eastAsia="仿宋_GB2312" w:cs="仿宋_GB2312" w:hint="eastAsia"/>
          <w:color w:val="auto"/>
          <w:sz w:val="28"/>
          <w:szCs w:val="28"/>
        </w:rPr>
        <w:t>%；</w:t>
      </w:r>
      <w:r>
        <w:rPr>
          <w:rFonts w:ascii="仿宋_GB2312" w:eastAsia="仿宋_GB2312" w:cs="仿宋_GB2312" w:hint="eastAsia"/>
          <w:b/>
          <w:bCs/>
          <w:color w:val="auto"/>
          <w:sz w:val="28"/>
          <w:szCs w:val="28"/>
        </w:rPr>
        <w:t>住房保障</w:t>
      </w:r>
      <w:r>
        <w:rPr>
          <w:rFonts w:ascii="仿宋_GB2312" w:eastAsia="仿宋_GB2312" w:cs="仿宋_GB2312" w:hint="eastAsia"/>
          <w:color w:val="auto"/>
          <w:sz w:val="28"/>
          <w:szCs w:val="28"/>
        </w:rPr>
        <w:t>支出</w:t>
      </w:r>
      <w:r>
        <w:rPr>
          <w:rFonts w:ascii="仿宋_GB2312" w:eastAsia="仿宋_GB2312" w:cs="仿宋_GB2312" w:hint="eastAsia"/>
          <w:color w:val="auto"/>
          <w:sz w:val="28"/>
          <w:szCs w:val="28"/>
          <w:lang w:val="en-US" w:eastAsia="zh-CN"/>
        </w:rPr>
        <w:t>2.44</w:t>
      </w:r>
      <w:r>
        <w:rPr>
          <w:rFonts w:ascii="仿宋_GB2312" w:eastAsia="仿宋_GB2312" w:cs="仿宋_GB2312" w:hint="eastAsia"/>
          <w:color w:val="auto"/>
          <w:sz w:val="28"/>
          <w:szCs w:val="28"/>
        </w:rPr>
        <w:t>万元，占</w:t>
      </w:r>
      <w:r>
        <w:rPr>
          <w:rFonts w:ascii="仿宋_GB2312" w:eastAsia="仿宋_GB2312" w:cs="仿宋_GB2312" w:hint="eastAsia"/>
          <w:color w:val="auto"/>
          <w:sz w:val="28"/>
          <w:szCs w:val="28"/>
          <w:lang w:val="en-US" w:eastAsia="zh-CN"/>
        </w:rPr>
        <w:t>8.88</w:t>
      </w:r>
      <w:r>
        <w:rPr>
          <w:rFonts w:ascii="仿宋_GB2312" w:eastAsia="仿宋_GB2312" w:cs="仿宋_GB2312" w:hint="eastAsia"/>
          <w:color w:val="auto"/>
          <w:sz w:val="28"/>
          <w:szCs w:val="28"/>
        </w:rPr>
        <w:t>%。（图6：一般公共预算财政拨款支出决算结构）</w:t>
      </w:r>
      <w:bookmarkStart w:id="42" w:name="_Toc15377212"/>
    </w:p>
    <w:p>
      <w:pPr>
        <w:spacing w:line="600" w:lineRule="exact"/>
        <w:ind w:firstLineChars="200" w:firstLine="560"/>
        <w:outlineLvl w:val="2"/>
        <w:rPr>
          <w:rFonts w:ascii="仿宋_GB2312" w:eastAsia="仿宋_GB2312" w:cs="仿宋_GB2312" w:hint="eastAsia"/>
          <w:b/>
          <w:color w:val="auto"/>
          <w:sz w:val="28"/>
          <w:szCs w:val="28"/>
        </w:rPr>
      </w:pPr>
      <w:r>
        <w:rPr>
          <w:rFonts w:ascii="仿宋_GB2312" w:eastAsia="仿宋_GB2312" w:cs="仿宋_GB2312" w:hint="eastAsia"/>
          <w:b/>
          <w:color w:val="auto"/>
          <w:sz w:val="28"/>
          <w:szCs w:val="28"/>
        </w:rPr>
        <w:t>（三）一般公共预算财政拨款支出决算具体情况</w:t>
      </w:r>
      <w:bookmarkEnd w:id="42"/>
    </w:p>
    <w:p>
      <w:pPr>
        <w:pageBreakBefore w:val="0"/>
        <w:widowControl w:val="0"/>
        <w:kinsoku/>
        <w:wordWrap/>
        <w:overflowPunct/>
        <w:topLinePunct w:val="0"/>
        <w:bidi w:val="0"/>
        <w:spacing w:line="576" w:lineRule="exact"/>
        <w:ind w:firstLineChars="200" w:firstLine="560"/>
        <w:textAlignment w:val="auto"/>
        <w:outlineLvl w:val="2"/>
        <w:rPr>
          <w:rFonts w:ascii="仿宋_GB2312" w:eastAsia="仿宋_GB2312" w:cs="仿宋_GB2312" w:hint="eastAsia"/>
          <w:color w:val="auto"/>
          <w:sz w:val="28"/>
          <w:szCs w:val="28"/>
        </w:rPr>
      </w:pPr>
      <w:bookmarkStart w:id="43" w:name="_Toc15377444"/>
      <w:bookmarkStart w:id="44" w:name="_Toc15378460"/>
      <w:bookmarkStart w:id="45" w:name="_Toc15377213"/>
      <w:r>
        <w:rPr>
          <w:rFonts w:ascii="仿宋_GB2312" w:eastAsia="仿宋_GB2312" w:cs="仿宋_GB2312" w:hint="eastAsia"/>
          <w:b/>
          <w:color w:val="auto"/>
          <w:sz w:val="28"/>
          <w:szCs w:val="28"/>
          <w:lang w:eastAsia="zh-CN"/>
        </w:rPr>
        <w:t>2020年一</w:t>
      </w:r>
      <w:r>
        <w:rPr>
          <w:rFonts w:ascii="仿宋_GB2312" w:eastAsia="仿宋_GB2312" w:cs="仿宋_GB2312" w:hint="eastAsia"/>
          <w:b/>
          <w:color w:val="auto"/>
          <w:sz w:val="28"/>
          <w:szCs w:val="28"/>
        </w:rPr>
        <w:t>般公共预算支出决算数为</w:t>
      </w:r>
      <w:r>
        <w:rPr>
          <w:rFonts w:ascii="仿宋_GB2312" w:eastAsia="仿宋_GB2312" w:cs="仿宋_GB2312" w:hint="eastAsia"/>
          <w:b/>
          <w:color w:val="auto"/>
          <w:sz w:val="28"/>
          <w:szCs w:val="28"/>
          <w:lang w:val="en-US" w:eastAsia="zh-CN"/>
        </w:rPr>
        <w:t>27.47万元</w:t>
      </w:r>
      <w:r>
        <w:rPr>
          <w:rFonts w:ascii="仿宋_GB2312" w:eastAsia="仿宋_GB2312" w:cs="仿宋_GB2312" w:hint="eastAsia"/>
          <w:color w:val="auto"/>
          <w:sz w:val="28"/>
          <w:szCs w:val="28"/>
        </w:rPr>
        <w:t>，</w:t>
      </w:r>
      <w:r>
        <w:rPr>
          <w:rStyle w:val="22"/>
          <w:rFonts w:ascii="仿宋_GB2312" w:eastAsia="仿宋_GB2312" w:cs="仿宋_GB2312" w:hint="eastAsia"/>
          <w:bCs/>
          <w:color w:val="auto"/>
          <w:sz w:val="28"/>
          <w:szCs w:val="28"/>
        </w:rPr>
        <w:t>完成预算</w:t>
      </w:r>
      <w:r>
        <w:rPr>
          <w:rStyle w:val="22"/>
          <w:rFonts w:ascii="仿宋_GB2312" w:eastAsia="仿宋_GB2312" w:cs="仿宋_GB2312" w:hint="eastAsia"/>
          <w:bCs/>
          <w:color w:val="auto"/>
          <w:sz w:val="28"/>
          <w:szCs w:val="28"/>
          <w:lang w:val="en-US" w:eastAsia="zh-CN"/>
        </w:rPr>
        <w:t>100</w:t>
      </w:r>
      <w:r>
        <w:rPr>
          <w:rStyle w:val="22"/>
          <w:rFonts w:ascii="仿宋_GB2312" w:eastAsia="仿宋_GB2312" w:cs="仿宋_GB2312" w:hint="eastAsia"/>
          <w:bCs/>
          <w:color w:val="auto"/>
          <w:sz w:val="28"/>
          <w:szCs w:val="28"/>
        </w:rPr>
        <w:t>%。其中：</w:t>
      </w:r>
    </w:p>
    <w:p>
      <w:pPr>
        <w:pageBreakBefore w:val="0"/>
        <w:widowControl w:val="0"/>
        <w:kinsoku/>
        <w:wordWrap/>
        <w:overflowPunct/>
        <w:topLinePunct w:val="0"/>
        <w:bidi w:val="0"/>
        <w:spacing w:line="576" w:lineRule="exact"/>
        <w:ind w:left="0" w:firstLineChars="200" w:firstLine="560"/>
        <w:textAlignment w:val="auto"/>
        <w:rPr>
          <w:rStyle w:val="22"/>
          <w:rFonts w:ascii="仿宋_GB2312" w:eastAsia="仿宋_GB2312" w:cs="仿宋_GB2312" w:hint="eastAsia"/>
          <w:b w:val="0"/>
          <w:bCs/>
          <w:color w:val="auto"/>
          <w:sz w:val="28"/>
          <w:szCs w:val="28"/>
          <w:lang w:val="en-US" w:eastAsia="zh-CN"/>
        </w:rPr>
      </w:pPr>
      <w:r>
        <w:rPr>
          <w:rStyle w:val="22"/>
          <w:rFonts w:ascii="仿宋_GB2312" w:eastAsia="仿宋_GB2312" w:cs="仿宋_GB2312" w:hint="eastAsia"/>
          <w:bCs/>
          <w:color w:val="auto"/>
          <w:sz w:val="28"/>
          <w:szCs w:val="28"/>
          <w:lang w:val="en-US" w:eastAsia="zh-CN"/>
        </w:rPr>
        <w:t>1.</w:t>
      </w:r>
      <w:r>
        <w:rPr>
          <w:rStyle w:val="22"/>
          <w:rFonts w:ascii="仿宋_GB2312" w:eastAsia="仿宋_GB2312" w:cs="仿宋_GB2312" w:hint="eastAsia"/>
          <w:bCs/>
          <w:color w:val="auto"/>
          <w:sz w:val="28"/>
          <w:szCs w:val="28"/>
        </w:rPr>
        <w:t>一般公共服务</w:t>
      </w:r>
      <w:r>
        <w:rPr>
          <w:rStyle w:val="22"/>
          <w:rFonts w:ascii="仿宋_GB2312" w:eastAsia="仿宋_GB2312" w:cs="仿宋_GB2312" w:hint="eastAsia"/>
          <w:bCs/>
          <w:color w:val="auto"/>
          <w:sz w:val="28"/>
          <w:szCs w:val="28"/>
          <w:lang w:eastAsia="zh-CN"/>
        </w:rPr>
        <w:t>：事业运行</w:t>
      </w:r>
      <w:r>
        <w:rPr>
          <w:rStyle w:val="22"/>
          <w:rFonts w:ascii="仿宋_GB2312" w:eastAsia="仿宋_GB2312" w:cs="仿宋_GB2312" w:hint="eastAsia"/>
          <w:bCs/>
          <w:color w:val="auto"/>
          <w:sz w:val="28"/>
          <w:szCs w:val="28"/>
          <w:lang w:val="en-US" w:eastAsia="zh-CN"/>
        </w:rPr>
        <w:t>2010350款</w:t>
      </w:r>
      <w:r>
        <w:rPr>
          <w:rStyle w:val="22"/>
          <w:rFonts w:ascii="仿宋_GB2312" w:eastAsia="仿宋_GB2312" w:cs="仿宋_GB2312" w:hint="eastAsia"/>
          <w:bCs/>
          <w:color w:val="auto"/>
          <w:sz w:val="28"/>
          <w:szCs w:val="28"/>
        </w:rPr>
        <w:t>:</w:t>
      </w:r>
      <w:r>
        <w:rPr>
          <w:rStyle w:val="22"/>
          <w:rFonts w:ascii="仿宋_GB2312" w:eastAsia="仿宋_GB2312" w:cs="仿宋_GB2312" w:hint="eastAsia"/>
          <w:b w:val="0"/>
          <w:bCs/>
          <w:color w:val="auto"/>
          <w:sz w:val="28"/>
          <w:szCs w:val="28"/>
        </w:rPr>
        <w:t xml:space="preserve"> 支出决算为</w:t>
      </w:r>
      <w:r>
        <w:rPr>
          <w:rStyle w:val="22"/>
          <w:rFonts w:ascii="仿宋_GB2312" w:eastAsia="仿宋_GB2312" w:cs="仿宋_GB2312" w:hint="eastAsia"/>
          <w:b w:val="0"/>
          <w:bCs/>
          <w:color w:val="auto"/>
          <w:sz w:val="28"/>
          <w:szCs w:val="28"/>
          <w:lang w:val="en-US" w:eastAsia="zh-CN"/>
        </w:rPr>
        <w:t>19.41</w:t>
      </w:r>
      <w:r>
        <w:rPr>
          <w:rStyle w:val="22"/>
          <w:rFonts w:ascii="仿宋_GB2312" w:eastAsia="仿宋_GB2312" w:cs="仿宋_GB2312" w:hint="eastAsia"/>
          <w:b w:val="0"/>
          <w:bCs/>
          <w:color w:val="auto"/>
          <w:sz w:val="28"/>
          <w:szCs w:val="28"/>
        </w:rPr>
        <w:t>万元，完成预算</w:t>
      </w:r>
      <w:r>
        <w:rPr>
          <w:rStyle w:val="22"/>
          <w:rFonts w:ascii="仿宋_GB2312" w:eastAsia="仿宋_GB2312" w:cs="仿宋_GB2312" w:hint="eastAsia"/>
          <w:b w:val="0"/>
          <w:bCs/>
          <w:color w:val="auto"/>
          <w:sz w:val="28"/>
          <w:szCs w:val="28"/>
          <w:lang w:val="en-US" w:eastAsia="zh-CN"/>
        </w:rPr>
        <w:t>100%。</w:t>
      </w:r>
    </w:p>
    <w:p>
      <w:pPr>
        <w:pageBreakBefore w:val="0"/>
        <w:widowControl w:val="0"/>
        <w:kinsoku/>
        <w:wordWrap/>
        <w:overflowPunct/>
        <w:topLinePunct w:val="0"/>
        <w:bidi w:val="0"/>
        <w:spacing w:line="576" w:lineRule="exact"/>
        <w:ind w:left="0" w:firstLineChars="200" w:firstLine="560"/>
        <w:textAlignment w:val="auto"/>
        <w:rPr>
          <w:rStyle w:val="22"/>
          <w:rFonts w:ascii="仿宋_GB2312" w:eastAsia="仿宋_GB2312" w:cs="仿宋_GB2312" w:hint="eastAsia"/>
          <w:b w:val="0"/>
          <w:bCs/>
          <w:color w:val="auto"/>
          <w:sz w:val="28"/>
          <w:szCs w:val="28"/>
          <w:lang w:val="en-US" w:eastAsia="zh-CN"/>
        </w:rPr>
      </w:pPr>
      <w:r>
        <w:rPr>
          <w:rStyle w:val="22"/>
          <w:rFonts w:ascii="仿宋_GB2312" w:eastAsia="仿宋_GB2312" w:cs="仿宋_GB2312" w:hint="eastAsia"/>
          <w:bCs/>
          <w:color w:val="auto"/>
          <w:sz w:val="28"/>
          <w:szCs w:val="28"/>
          <w:lang w:val="en-US" w:eastAsia="zh-CN"/>
        </w:rPr>
        <w:t>2.社会保障和就业支出：机关事业单位基本养老保险缴费支出2080505款：</w:t>
      </w:r>
      <w:r>
        <w:rPr>
          <w:rStyle w:val="22"/>
          <w:rFonts w:ascii="仿宋_GB2312" w:eastAsia="仿宋_GB2312" w:cs="仿宋_GB2312" w:hint="eastAsia"/>
          <w:b w:val="0"/>
          <w:bCs/>
          <w:color w:val="auto"/>
          <w:sz w:val="28"/>
          <w:szCs w:val="28"/>
        </w:rPr>
        <w:t>支出决算为</w:t>
      </w:r>
      <w:r>
        <w:rPr>
          <w:rStyle w:val="22"/>
          <w:rFonts w:ascii="仿宋_GB2312" w:eastAsia="仿宋_GB2312" w:cs="仿宋_GB2312" w:hint="eastAsia"/>
          <w:b w:val="0"/>
          <w:bCs/>
          <w:color w:val="auto"/>
          <w:sz w:val="28"/>
          <w:szCs w:val="28"/>
          <w:lang w:val="en-US" w:eastAsia="zh-CN"/>
        </w:rPr>
        <w:t>1.23</w:t>
      </w:r>
      <w:r>
        <w:rPr>
          <w:rStyle w:val="22"/>
          <w:rFonts w:ascii="仿宋_GB2312" w:eastAsia="仿宋_GB2312" w:cs="仿宋_GB2312" w:hint="eastAsia"/>
          <w:b w:val="0"/>
          <w:bCs/>
          <w:color w:val="auto"/>
          <w:sz w:val="28"/>
          <w:szCs w:val="28"/>
        </w:rPr>
        <w:t>万元，完成预算</w:t>
      </w:r>
      <w:r>
        <w:rPr>
          <w:rStyle w:val="22"/>
          <w:rFonts w:ascii="仿宋_GB2312" w:eastAsia="仿宋_GB2312" w:cs="仿宋_GB2312" w:hint="eastAsia"/>
          <w:b w:val="0"/>
          <w:bCs/>
          <w:color w:val="auto"/>
          <w:sz w:val="28"/>
          <w:szCs w:val="28"/>
          <w:lang w:val="en-US" w:eastAsia="zh-CN"/>
        </w:rPr>
        <w:t>100%；</w:t>
      </w:r>
      <w:r>
        <w:rPr>
          <w:rStyle w:val="22"/>
          <w:rFonts w:ascii="仿宋_GB2312" w:eastAsia="仿宋_GB2312" w:cs="仿宋_GB2312" w:hint="eastAsia"/>
          <w:bCs/>
          <w:color w:val="auto"/>
          <w:sz w:val="28"/>
          <w:szCs w:val="28"/>
          <w:lang w:val="en-US" w:eastAsia="zh-CN"/>
        </w:rPr>
        <w:t>机关事业单位职业年金缴费支出2080506款：</w:t>
      </w:r>
      <w:r>
        <w:rPr>
          <w:rStyle w:val="22"/>
          <w:rFonts w:ascii="仿宋_GB2312" w:eastAsia="仿宋_GB2312" w:cs="仿宋_GB2312" w:hint="eastAsia"/>
          <w:b w:val="0"/>
          <w:bCs/>
          <w:color w:val="auto"/>
          <w:sz w:val="28"/>
          <w:szCs w:val="28"/>
        </w:rPr>
        <w:t>支出决算为</w:t>
      </w:r>
      <w:r>
        <w:rPr>
          <w:rStyle w:val="22"/>
          <w:rFonts w:ascii="仿宋_GB2312" w:eastAsia="仿宋_GB2312" w:cs="仿宋_GB2312" w:hint="eastAsia"/>
          <w:b w:val="0"/>
          <w:bCs/>
          <w:color w:val="auto"/>
          <w:sz w:val="28"/>
          <w:szCs w:val="28"/>
          <w:lang w:val="en-US" w:eastAsia="zh-CN"/>
        </w:rPr>
        <w:t>0.62</w:t>
      </w:r>
      <w:r>
        <w:rPr>
          <w:rStyle w:val="22"/>
          <w:rFonts w:ascii="仿宋_GB2312" w:eastAsia="仿宋_GB2312" w:cs="仿宋_GB2312" w:hint="eastAsia"/>
          <w:b w:val="0"/>
          <w:bCs/>
          <w:color w:val="auto"/>
          <w:sz w:val="28"/>
          <w:szCs w:val="28"/>
        </w:rPr>
        <w:t>万元，完成预算</w:t>
      </w:r>
      <w:r>
        <w:rPr>
          <w:rStyle w:val="22"/>
          <w:rFonts w:ascii="仿宋_GB2312" w:eastAsia="仿宋_GB2312" w:cs="仿宋_GB2312" w:hint="eastAsia"/>
          <w:b w:val="0"/>
          <w:bCs/>
          <w:color w:val="auto"/>
          <w:sz w:val="28"/>
          <w:szCs w:val="28"/>
          <w:lang w:val="en-US" w:eastAsia="zh-CN"/>
        </w:rPr>
        <w:t>100%。</w:t>
      </w:r>
    </w:p>
    <w:p>
      <w:pPr>
        <w:pageBreakBefore w:val="0"/>
        <w:widowControl w:val="0"/>
        <w:kinsoku/>
        <w:wordWrap/>
        <w:overflowPunct/>
        <w:topLinePunct w:val="0"/>
        <w:bidi w:val="0"/>
        <w:spacing w:line="576" w:lineRule="exact"/>
        <w:ind w:firstLineChars="200" w:firstLine="560"/>
        <w:textAlignment w:val="auto"/>
        <w:rPr>
          <w:rStyle w:val="22"/>
          <w:rFonts w:ascii="仿宋_GB2312" w:eastAsia="仿宋_GB2312" w:cs="仿宋_GB2312" w:hint="eastAsia"/>
          <w:b w:val="0"/>
          <w:bCs/>
          <w:color w:val="auto"/>
          <w:sz w:val="28"/>
          <w:szCs w:val="28"/>
          <w:lang w:eastAsia="zh-CN"/>
        </w:rPr>
      </w:pPr>
      <w:r>
        <w:rPr>
          <w:rStyle w:val="22"/>
          <w:rFonts w:ascii="仿宋_GB2312" w:eastAsia="仿宋_GB2312" w:cs="仿宋_GB2312" w:hint="eastAsia"/>
          <w:bCs/>
          <w:color w:val="auto"/>
          <w:sz w:val="28"/>
          <w:szCs w:val="28"/>
          <w:lang w:val="en-US" w:eastAsia="zh-CN"/>
        </w:rPr>
        <w:t>3.医疗卫生与计划生育支出：行政单位医疗2101102款：</w:t>
      </w:r>
      <w:r>
        <w:rPr>
          <w:rStyle w:val="22"/>
          <w:rFonts w:ascii="仿宋_GB2312" w:eastAsia="仿宋_GB2312" w:cs="仿宋_GB2312" w:hint="eastAsia"/>
          <w:b w:val="0"/>
          <w:bCs/>
          <w:color w:val="auto"/>
          <w:sz w:val="28"/>
          <w:szCs w:val="28"/>
        </w:rPr>
        <w:t>支出决算为</w:t>
      </w:r>
      <w:r>
        <w:rPr>
          <w:rStyle w:val="22"/>
          <w:rFonts w:ascii="仿宋_GB2312" w:eastAsia="仿宋_GB2312" w:cs="仿宋_GB2312" w:hint="eastAsia"/>
          <w:b w:val="0"/>
          <w:bCs/>
          <w:color w:val="auto"/>
          <w:sz w:val="28"/>
          <w:szCs w:val="28"/>
          <w:lang w:val="en-US" w:eastAsia="zh-CN"/>
        </w:rPr>
        <w:t>:2.86</w:t>
      </w:r>
      <w:r>
        <w:rPr>
          <w:rStyle w:val="22"/>
          <w:rFonts w:ascii="仿宋_GB2312" w:eastAsia="仿宋_GB2312" w:cs="仿宋_GB2312" w:hint="eastAsia"/>
          <w:b w:val="0"/>
          <w:bCs/>
          <w:color w:val="auto"/>
          <w:sz w:val="28"/>
          <w:szCs w:val="28"/>
        </w:rPr>
        <w:t>万元，完成预算</w:t>
      </w:r>
      <w:r>
        <w:rPr>
          <w:rStyle w:val="22"/>
          <w:rFonts w:ascii="仿宋_GB2312" w:eastAsia="仿宋_GB2312" w:cs="仿宋_GB2312" w:hint="eastAsia"/>
          <w:b w:val="0"/>
          <w:bCs/>
          <w:color w:val="auto"/>
          <w:sz w:val="28"/>
          <w:szCs w:val="28"/>
          <w:lang w:val="en-US" w:eastAsia="zh-CN"/>
        </w:rPr>
        <w:t>100</w:t>
      </w:r>
      <w:r>
        <w:rPr>
          <w:rStyle w:val="22"/>
          <w:rFonts w:ascii="仿宋_GB2312" w:eastAsia="仿宋_GB2312" w:cs="仿宋_GB2312" w:hint="eastAsia"/>
          <w:b w:val="0"/>
          <w:bCs/>
          <w:color w:val="auto"/>
          <w:sz w:val="28"/>
          <w:szCs w:val="28"/>
        </w:rPr>
        <w:t>%</w:t>
      </w:r>
      <w:r>
        <w:rPr>
          <w:rStyle w:val="22"/>
          <w:rFonts w:ascii="仿宋_GB2312" w:eastAsia="仿宋_GB2312" w:cs="仿宋_GB2312" w:hint="eastAsia"/>
          <w:b w:val="0"/>
          <w:bCs/>
          <w:color w:val="auto"/>
          <w:sz w:val="28"/>
          <w:szCs w:val="28"/>
          <w:lang w:eastAsia="zh-CN"/>
        </w:rPr>
        <w:t>；</w:t>
      </w:r>
      <w:r>
        <w:rPr>
          <w:rStyle w:val="22"/>
          <w:rFonts w:ascii="仿宋_GB2312" w:eastAsia="仿宋_GB2312" w:cs="仿宋_GB2312" w:hint="eastAsia"/>
          <w:b/>
          <w:bCs w:val="0"/>
          <w:color w:val="auto"/>
          <w:sz w:val="28"/>
          <w:szCs w:val="28"/>
          <w:lang w:eastAsia="zh-CN"/>
        </w:rPr>
        <w:t>其他行政事业单位医疗支出</w:t>
      </w:r>
      <w:r>
        <w:rPr>
          <w:rStyle w:val="22"/>
          <w:rFonts w:ascii="仿宋_GB2312" w:eastAsia="仿宋_GB2312" w:cs="仿宋_GB2312" w:hint="eastAsia"/>
          <w:b/>
          <w:bCs w:val="0"/>
          <w:color w:val="auto"/>
          <w:sz w:val="28"/>
          <w:szCs w:val="28"/>
          <w:lang w:val="en-US" w:eastAsia="zh-CN"/>
        </w:rPr>
        <w:t>2101199款</w:t>
      </w:r>
      <w:r>
        <w:rPr>
          <w:rStyle w:val="22"/>
          <w:rFonts w:ascii="仿宋_GB2312" w:eastAsia="仿宋_GB2312" w:cs="仿宋_GB2312" w:hint="eastAsia"/>
          <w:b w:val="0"/>
          <w:bCs/>
          <w:color w:val="auto"/>
          <w:sz w:val="28"/>
          <w:szCs w:val="28"/>
          <w:lang w:val="en-US" w:eastAsia="zh-CN"/>
        </w:rPr>
        <w:t>：0.91万元</w:t>
      </w:r>
      <w:r>
        <w:rPr>
          <w:rStyle w:val="22"/>
          <w:rFonts w:ascii="仿宋_GB2312" w:eastAsia="仿宋_GB2312" w:cs="仿宋_GB2312" w:hint="eastAsia"/>
          <w:b w:val="0"/>
          <w:bCs/>
          <w:color w:val="auto"/>
          <w:sz w:val="28"/>
          <w:szCs w:val="28"/>
          <w:lang w:eastAsia="zh-CN"/>
        </w:rPr>
        <w:t>。</w:t>
      </w:r>
    </w:p>
    <w:p>
      <w:pPr>
        <w:spacing w:line="600" w:lineRule="exact"/>
        <w:ind w:firstLineChars="200" w:firstLine="560"/>
        <w:outlineLvl w:val="2"/>
        <w:rPr>
          <w:rFonts w:ascii="仿宋_GB2312" w:eastAsia="仿宋_GB2312" w:cs="仿宋_GB2312" w:hint="eastAsia"/>
          <w:b/>
          <w:color w:val="auto"/>
          <w:sz w:val="28"/>
          <w:szCs w:val="28"/>
        </w:rPr>
      </w:pPr>
      <w:r>
        <w:rPr>
          <w:rStyle w:val="22"/>
          <w:rFonts w:ascii="仿宋_GB2312" w:eastAsia="仿宋_GB2312" w:cs="仿宋_GB2312" w:hint="eastAsia"/>
          <w:bCs/>
          <w:color w:val="auto"/>
          <w:sz w:val="28"/>
          <w:szCs w:val="28"/>
          <w:lang w:val="en-US" w:eastAsia="zh-CN"/>
        </w:rPr>
        <w:t>4.住房保障支出：住房公积金2210201款：</w:t>
      </w:r>
      <w:r>
        <w:rPr>
          <w:rStyle w:val="22"/>
          <w:rFonts w:ascii="仿宋_GB2312" w:eastAsia="仿宋_GB2312" w:cs="仿宋_GB2312" w:hint="eastAsia"/>
          <w:b w:val="0"/>
          <w:bCs/>
          <w:color w:val="auto"/>
          <w:sz w:val="28"/>
          <w:szCs w:val="28"/>
        </w:rPr>
        <w:t>支出决算为</w:t>
      </w:r>
      <w:r>
        <w:rPr>
          <w:rStyle w:val="22"/>
          <w:rFonts w:ascii="仿宋_GB2312" w:eastAsia="仿宋_GB2312" w:cs="仿宋_GB2312" w:hint="eastAsia"/>
          <w:b w:val="0"/>
          <w:bCs/>
          <w:color w:val="auto"/>
          <w:sz w:val="28"/>
          <w:szCs w:val="28"/>
          <w:lang w:val="en-US" w:eastAsia="zh-CN"/>
        </w:rPr>
        <w:t>:2.44</w:t>
      </w:r>
      <w:r>
        <w:rPr>
          <w:rStyle w:val="22"/>
          <w:rFonts w:ascii="仿宋_GB2312" w:eastAsia="仿宋_GB2312" w:cs="仿宋_GB2312" w:hint="eastAsia"/>
          <w:b w:val="0"/>
          <w:bCs/>
          <w:color w:val="auto"/>
          <w:sz w:val="28"/>
          <w:szCs w:val="28"/>
        </w:rPr>
        <w:t>万元，完成预算</w:t>
      </w:r>
      <w:r>
        <w:rPr>
          <w:rStyle w:val="22"/>
          <w:rFonts w:ascii="仿宋_GB2312" w:eastAsia="仿宋_GB2312" w:cs="仿宋_GB2312" w:hint="eastAsia"/>
          <w:b w:val="0"/>
          <w:bCs/>
          <w:color w:val="auto"/>
          <w:sz w:val="28"/>
          <w:szCs w:val="28"/>
          <w:lang w:val="en-US" w:eastAsia="zh-CN"/>
        </w:rPr>
        <w:t>100</w:t>
      </w:r>
      <w:r>
        <w:rPr>
          <w:rStyle w:val="22"/>
          <w:rFonts w:ascii="仿宋_GB2312" w:eastAsia="仿宋_GB2312" w:cs="仿宋_GB2312" w:hint="eastAsia"/>
          <w:b w:val="0"/>
          <w:bCs/>
          <w:color w:val="auto"/>
          <w:sz w:val="28"/>
          <w:szCs w:val="28"/>
        </w:rPr>
        <w:t>%</w:t>
      </w:r>
      <w:r>
        <w:rPr>
          <w:rStyle w:val="22"/>
          <w:rFonts w:ascii="仿宋_GB2312" w:eastAsia="仿宋_GB2312" w:cs="仿宋_GB2312" w:hint="eastAsia"/>
          <w:b w:val="0"/>
          <w:bCs/>
          <w:color w:val="auto"/>
          <w:sz w:val="28"/>
          <w:szCs w:val="28"/>
          <w:lang w:val="en-US" w:eastAsia="zh-CN"/>
        </w:rPr>
        <w:t>。</w:t>
      </w:r>
      <w:bookmarkEnd w:id="43"/>
      <w:bookmarkEnd w:id="44"/>
      <w:bookmarkEnd w:id="45"/>
    </w:p>
    <w:p>
      <w:pPr>
        <w:tabs>
          <w:tab w:val="right" w:pos="8306"/>
        </w:tabs>
        <w:spacing w:line="600" w:lineRule="exact"/>
        <w:ind w:firstLine="640"/>
        <w:outlineLvl w:val="1"/>
        <w:rPr>
          <w:rStyle w:val="2Char"/>
          <w:rFonts w:ascii="仿宋_GB2312" w:eastAsia="仿宋_GB2312" w:cs="仿宋_GB2312" w:hint="eastAsia"/>
          <w:color w:val="auto"/>
          <w:sz w:val="28"/>
          <w:szCs w:val="28"/>
        </w:rPr>
      </w:pPr>
      <w:bookmarkStart w:id="46" w:name="_Toc15377214"/>
      <w:bookmarkStart w:id="47" w:name="_Toc26257"/>
      <w:r>
        <w:rPr>
          <w:rFonts w:ascii="仿宋_GB2312" w:eastAsia="仿宋_GB2312" w:cs="仿宋_GB2312" w:hint="eastAsia"/>
          <w:color w:val="auto"/>
          <w:sz w:val="28"/>
          <w:szCs w:val="28"/>
        </w:rPr>
        <w:t>六</w:t>
      </w:r>
      <w:r>
        <w:rPr>
          <w:rFonts w:ascii="仿宋_GB2312" w:eastAsia="仿宋_GB2312" w:cs="仿宋_GB2312" w:hint="eastAsia"/>
          <w:b/>
          <w:color w:val="auto"/>
          <w:sz w:val="28"/>
          <w:szCs w:val="28"/>
        </w:rPr>
        <w:t>、一</w:t>
      </w:r>
      <w:r>
        <w:rPr>
          <w:rStyle w:val="2Char"/>
          <w:rFonts w:ascii="仿宋_GB2312" w:eastAsia="仿宋_GB2312" w:cs="仿宋_GB2312" w:hint="eastAsia"/>
          <w:b w:val="0"/>
          <w:color w:val="auto"/>
          <w:sz w:val="28"/>
          <w:szCs w:val="28"/>
        </w:rPr>
        <w:t>般公共预算财政拨款基本支出决算情况说明</w:t>
      </w:r>
      <w:bookmarkEnd w:id="46"/>
      <w:bookmarkEnd w:id="47"/>
      <w:r>
        <w:rPr>
          <w:rStyle w:val="2Char"/>
          <w:rFonts w:ascii="仿宋_GB2312" w:eastAsia="仿宋_GB2312" w:cs="仿宋_GB2312" w:hint="eastAsia"/>
          <w:b w:val="0"/>
          <w:color w:val="auto"/>
          <w:sz w:val="28"/>
          <w:szCs w:val="28"/>
        </w:rPr>
        <w:tab/>
      </w:r>
    </w:p>
    <w:p>
      <w:pPr>
        <w:pageBreakBefore w:val="0"/>
        <w:widowControl w:val="0"/>
        <w:kinsoku/>
        <w:wordWrap/>
        <w:overflowPunct/>
        <w:topLinePunct w:val="0"/>
        <w:bidi w:val="0"/>
        <w:spacing w:line="576" w:lineRule="exact"/>
        <w:ind w:firstLine="645"/>
        <w:textAlignment w:val="auto"/>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一般公共预算财政拨款基本支出</w:t>
      </w:r>
      <w:r>
        <w:rPr>
          <w:rFonts w:ascii="仿宋_GB2312" w:eastAsia="仿宋_GB2312" w:cs="仿宋_GB2312" w:hint="eastAsia"/>
          <w:color w:val="auto"/>
          <w:sz w:val="28"/>
          <w:szCs w:val="28"/>
          <w:lang w:val="en-US" w:eastAsia="zh-CN"/>
        </w:rPr>
        <w:t>27.47</w:t>
      </w:r>
      <w:r>
        <w:rPr>
          <w:rFonts w:ascii="仿宋_GB2312" w:eastAsia="仿宋_GB2312" w:cs="仿宋_GB2312" w:hint="eastAsia"/>
          <w:color w:val="auto"/>
          <w:sz w:val="28"/>
          <w:szCs w:val="28"/>
        </w:rPr>
        <w:t>万元，其中：</w:t>
      </w:r>
    </w:p>
    <w:p>
      <w:pPr>
        <w:pageBreakBefore w:val="0"/>
        <w:widowControl w:val="0"/>
        <w:kinsoku/>
        <w:wordWrap/>
        <w:overflowPunct/>
        <w:topLinePunct w:val="0"/>
        <w:bidi w:val="0"/>
        <w:spacing w:line="576" w:lineRule="exact"/>
        <w:ind w:firstLine="645"/>
        <w:textAlignment w:val="auto"/>
        <w:rPr>
          <w:rFonts w:ascii="仿宋_GB2312" w:eastAsia="仿宋_GB2312" w:cs="仿宋_GB2312" w:hint="eastAsia"/>
          <w:color w:val="auto"/>
          <w:sz w:val="28"/>
          <w:szCs w:val="28"/>
          <w:lang w:eastAsia="zh-CN"/>
        </w:rPr>
      </w:pPr>
      <w:r>
        <w:rPr>
          <w:rFonts w:ascii="仿宋_GB2312" w:eastAsia="仿宋_GB2312" w:cs="仿宋_GB2312" w:hint="eastAsia"/>
          <w:color w:val="auto"/>
          <w:sz w:val="28"/>
          <w:szCs w:val="28"/>
        </w:rPr>
        <w:t>人员经费</w:t>
      </w:r>
      <w:r>
        <w:rPr>
          <w:rFonts w:ascii="仿宋_GB2312" w:eastAsia="仿宋_GB2312" w:cs="仿宋_GB2312" w:hint="eastAsia"/>
          <w:color w:val="auto"/>
          <w:sz w:val="28"/>
          <w:szCs w:val="28"/>
          <w:lang w:val="en-US" w:eastAsia="zh-CN"/>
        </w:rPr>
        <w:t>22.72</w:t>
      </w:r>
      <w:r>
        <w:rPr>
          <w:rFonts w:ascii="仿宋_GB2312" w:eastAsia="仿宋_GB2312" w:cs="仿宋_GB2312" w:hint="eastAsia"/>
          <w:color w:val="auto"/>
          <w:sz w:val="28"/>
          <w:szCs w:val="28"/>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pageBreakBefore w:val="0"/>
        <w:widowControl w:val="0"/>
        <w:kinsoku/>
        <w:wordWrap/>
        <w:overflowPunct/>
        <w:topLinePunct w:val="0"/>
        <w:bidi w:val="0"/>
        <w:spacing w:line="576" w:lineRule="exact"/>
        <w:ind w:firstLine="645"/>
        <w:textAlignment w:val="auto"/>
        <w:rPr>
          <w:rFonts w:ascii="仿宋_GB2312" w:eastAsia="仿宋_GB2312" w:cs="仿宋_GB2312" w:hint="eastAsia"/>
          <w:b/>
          <w:color w:val="auto"/>
          <w:sz w:val="28"/>
          <w:szCs w:val="28"/>
        </w:rPr>
      </w:pPr>
      <w:r>
        <w:rPr>
          <w:rFonts w:ascii="仿宋_GB2312" w:eastAsia="仿宋_GB2312" w:cs="仿宋_GB2312" w:hint="eastAsia"/>
          <w:color w:val="auto"/>
          <w:sz w:val="28"/>
          <w:szCs w:val="28"/>
        </w:rPr>
        <w:t>　　公用经费</w:t>
      </w:r>
      <w:r>
        <w:rPr>
          <w:rFonts w:ascii="仿宋_GB2312" w:eastAsia="仿宋_GB2312" w:cs="仿宋_GB2312" w:hint="eastAsia"/>
          <w:color w:val="auto"/>
          <w:sz w:val="28"/>
          <w:szCs w:val="28"/>
          <w:lang w:val="en-US" w:eastAsia="zh-CN"/>
        </w:rPr>
        <w:t>4.75</w:t>
      </w:r>
      <w:r>
        <w:rPr>
          <w:rFonts w:ascii="仿宋_GB2312" w:eastAsia="仿宋_GB2312" w:cs="仿宋_GB2312" w:hint="eastAsia"/>
          <w:color w:val="auto"/>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仿宋_GB2312" w:eastAsia="仿宋_GB2312" w:cs="仿宋_GB2312" w:hint="eastAsia"/>
          <w:b w:val="0"/>
          <w:color w:val="auto"/>
          <w:sz w:val="28"/>
          <w:szCs w:val="28"/>
        </w:rPr>
      </w:pPr>
      <w:bookmarkStart w:id="48" w:name="_Toc15377215"/>
      <w:bookmarkStart w:id="49" w:name="_Toc26"/>
      <w:r>
        <w:rPr>
          <w:rFonts w:ascii="仿宋_GB2312" w:eastAsia="仿宋_GB2312" w:cs="仿宋_GB2312" w:hint="eastAsia"/>
          <w:color w:val="auto"/>
          <w:sz w:val="28"/>
          <w:szCs w:val="28"/>
        </w:rPr>
        <w:t>七、</w:t>
      </w:r>
      <w:r>
        <w:rPr>
          <w:rStyle w:val="2Char"/>
          <w:rFonts w:ascii="仿宋_GB2312" w:eastAsia="仿宋_GB2312" w:cs="仿宋_GB2312" w:hint="eastAsia"/>
          <w:color w:val="auto"/>
          <w:sz w:val="28"/>
          <w:szCs w:val="28"/>
        </w:rPr>
        <w:t>“</w:t>
      </w:r>
      <w:r>
        <w:rPr>
          <w:rStyle w:val="2Char"/>
          <w:rFonts w:ascii="仿宋_GB2312" w:eastAsia="仿宋_GB2312" w:cs="仿宋_GB2312" w:hint="eastAsia"/>
          <w:b w:val="0"/>
          <w:color w:val="auto"/>
          <w:sz w:val="28"/>
          <w:szCs w:val="28"/>
        </w:rPr>
        <w:t>三公”经费财政拨款支出决算情况说明</w:t>
      </w:r>
      <w:bookmarkEnd w:id="48"/>
      <w:bookmarkEnd w:id="49"/>
    </w:p>
    <w:p>
      <w:pPr>
        <w:spacing w:line="600" w:lineRule="exact"/>
        <w:ind w:firstLine="640"/>
        <w:outlineLvl w:val="1"/>
        <w:rPr>
          <w:rStyle w:val="2Char"/>
          <w:rFonts w:ascii="仿宋_GB2312" w:eastAsia="仿宋_GB2312" w:cs="仿宋_GB2312" w:hint="eastAsia"/>
          <w:b w:val="0"/>
          <w:color w:val="auto"/>
          <w:sz w:val="28"/>
          <w:szCs w:val="28"/>
        </w:rPr>
      </w:pPr>
      <w:bookmarkStart w:id="50" w:name="_Toc15377216"/>
      <w:bookmarkStart w:id="51" w:name="_Toc1012"/>
      <w:r>
        <w:rPr>
          <w:rStyle w:val="2Char"/>
          <w:rFonts w:ascii="仿宋_GB2312" w:eastAsia="仿宋_GB2312" w:cs="仿宋_GB2312" w:hint="eastAsia"/>
          <w:b w:val="0"/>
          <w:color w:val="auto"/>
          <w:sz w:val="28"/>
          <w:szCs w:val="28"/>
        </w:rPr>
        <w:t>（一）“三公”经费财政拨款支出决算总体情况说明</w:t>
      </w:r>
      <w:bookmarkEnd w:id="50"/>
      <w:bookmarkEnd w:id="51"/>
    </w:p>
    <w:p>
      <w:pPr>
        <w:spacing w:line="600" w:lineRule="exact"/>
        <w:ind w:firstLine="640"/>
        <w:outlineLvl w:val="1"/>
        <w:rPr>
          <w:rStyle w:val="2Char"/>
          <w:rFonts w:ascii="仿宋_GB2312" w:eastAsia="仿宋_GB2312" w:cs="仿宋_GB2312" w:hint="eastAsia"/>
          <w:b w:val="0"/>
          <w:color w:val="auto"/>
          <w:sz w:val="28"/>
          <w:szCs w:val="28"/>
          <w:lang w:eastAsia="zh-CN"/>
        </w:rPr>
      </w:pPr>
      <w:bookmarkStart w:id="52" w:name="_Toc28340"/>
      <w:r>
        <w:rPr>
          <w:rStyle w:val="2Char"/>
          <w:rFonts w:ascii="仿宋_GB2312" w:eastAsia="仿宋_GB2312" w:cs="仿宋_GB2312" w:hint="eastAsia"/>
          <w:b w:val="0"/>
          <w:color w:val="auto"/>
          <w:sz w:val="28"/>
          <w:szCs w:val="28"/>
          <w:lang w:eastAsia="zh-CN"/>
        </w:rPr>
        <w:t>无。</w:t>
      </w:r>
      <w:bookmarkEnd w:id="52"/>
    </w:p>
    <w:p>
      <w:pPr>
        <w:spacing w:line="600" w:lineRule="exact"/>
        <w:ind w:firstLine="640"/>
        <w:outlineLvl w:val="1"/>
        <w:rPr>
          <w:rStyle w:val="2Char"/>
          <w:rFonts w:ascii="仿宋_GB2312" w:eastAsia="仿宋_GB2312" w:cs="仿宋_GB2312" w:hint="eastAsia"/>
          <w:b w:val="0"/>
          <w:color w:val="auto"/>
          <w:sz w:val="28"/>
          <w:szCs w:val="28"/>
        </w:rPr>
      </w:pPr>
      <w:bookmarkStart w:id="53" w:name="_Toc15377217"/>
      <w:bookmarkStart w:id="54" w:name="_Toc21628"/>
      <w:r>
        <w:rPr>
          <w:rStyle w:val="2Char"/>
          <w:rFonts w:ascii="仿宋_GB2312" w:eastAsia="仿宋_GB2312" w:cs="仿宋_GB2312" w:hint="eastAsia"/>
          <w:b w:val="0"/>
          <w:color w:val="auto"/>
          <w:sz w:val="28"/>
          <w:szCs w:val="28"/>
        </w:rPr>
        <w:t>（二）“三公”经费财政拨款支出决算具体情况说明</w:t>
      </w:r>
      <w:bookmarkEnd w:id="53"/>
      <w:bookmarkEnd w:id="54"/>
    </w:p>
    <w:p>
      <w:pPr>
        <w:spacing w:line="600" w:lineRule="exact"/>
        <w:ind w:firstLine="640"/>
        <w:outlineLvl w:val="1"/>
        <w:rPr>
          <w:rStyle w:val="2Char"/>
          <w:rFonts w:ascii="仿宋_GB2312" w:eastAsia="仿宋_GB2312" w:cs="仿宋_GB2312" w:hint="eastAsia"/>
          <w:b w:val="0"/>
          <w:color w:val="auto"/>
          <w:sz w:val="28"/>
          <w:szCs w:val="28"/>
        </w:rPr>
      </w:pPr>
      <w:bookmarkStart w:id="55" w:name="_Toc22078"/>
      <w:r>
        <w:rPr>
          <w:rStyle w:val="2Char"/>
          <w:rFonts w:ascii="仿宋_GB2312" w:eastAsia="仿宋_GB2312" w:cs="仿宋_GB2312" w:hint="eastAsia"/>
          <w:b w:val="0"/>
          <w:color w:val="auto"/>
          <w:sz w:val="28"/>
          <w:szCs w:val="28"/>
          <w:lang w:eastAsia="zh-CN"/>
        </w:rPr>
        <w:t>2020年</w:t>
      </w:r>
      <w:r>
        <w:rPr>
          <w:rStyle w:val="2Char"/>
          <w:rFonts w:ascii="仿宋_GB2312" w:eastAsia="仿宋_GB2312" w:cs="仿宋_GB2312" w:hint="eastAsia"/>
          <w:b w:val="0"/>
          <w:color w:val="auto"/>
          <w:sz w:val="28"/>
          <w:szCs w:val="28"/>
        </w:rPr>
        <w:t>“三公”经费财政拨款支出决算中，因公出国（境）费支出决算</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万元，占</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%；公务用车购置及运行维护费支出决算</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万元，占</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%；公务接待费支出决算</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万元，占</w:t>
      </w:r>
      <w:r>
        <w:rPr>
          <w:rStyle w:val="2Char"/>
          <w:rFonts w:ascii="仿宋_GB2312" w:eastAsia="仿宋_GB2312" w:cs="仿宋_GB2312" w:hint="eastAsia"/>
          <w:b w:val="0"/>
          <w:color w:val="auto"/>
          <w:sz w:val="28"/>
          <w:szCs w:val="28"/>
          <w:lang w:val="en-US" w:eastAsia="zh-CN"/>
        </w:rPr>
        <w:t>0</w:t>
      </w:r>
      <w:r>
        <w:rPr>
          <w:rStyle w:val="2Char"/>
          <w:rFonts w:ascii="仿宋_GB2312" w:eastAsia="仿宋_GB2312" w:cs="仿宋_GB2312" w:hint="eastAsia"/>
          <w:b w:val="0"/>
          <w:color w:val="auto"/>
          <w:sz w:val="28"/>
          <w:szCs w:val="28"/>
        </w:rPr>
        <w:t>%。</w:t>
      </w:r>
      <w:bookmarkStart w:id="56" w:name="_Toc15377218"/>
      <w:bookmarkEnd w:id="55"/>
    </w:p>
    <w:p>
      <w:pPr>
        <w:spacing w:line="600" w:lineRule="exact"/>
        <w:ind w:firstLine="640"/>
        <w:outlineLvl w:val="1"/>
        <w:rPr>
          <w:rStyle w:val="2Char"/>
          <w:rFonts w:ascii="仿宋_GB2312" w:eastAsia="仿宋_GB2312" w:cs="仿宋_GB2312" w:hint="eastAsia"/>
          <w:color w:val="auto"/>
          <w:sz w:val="28"/>
          <w:szCs w:val="28"/>
        </w:rPr>
      </w:pPr>
      <w:bookmarkStart w:id="57" w:name="_Toc2076"/>
      <w:r>
        <w:rPr>
          <w:rFonts w:ascii="仿宋_GB2312" w:eastAsia="仿宋_GB2312" w:cs="仿宋_GB2312" w:hint="eastAsia"/>
          <w:color w:val="auto"/>
          <w:sz w:val="28"/>
          <w:szCs w:val="28"/>
        </w:rPr>
        <w:t>八、</w:t>
      </w:r>
      <w:r>
        <w:rPr>
          <w:rStyle w:val="2Char"/>
          <w:rFonts w:ascii="仿宋_GB2312" w:eastAsia="仿宋_GB2312" w:cs="仿宋_GB2312" w:hint="eastAsia"/>
          <w:b w:val="0"/>
          <w:color w:val="auto"/>
          <w:sz w:val="28"/>
          <w:szCs w:val="28"/>
        </w:rPr>
        <w:t>政府性基金预算支出决算情况说明</w:t>
      </w:r>
      <w:bookmarkEnd w:id="56"/>
      <w:bookmarkEnd w:id="57"/>
    </w:p>
    <w:p>
      <w:pPr>
        <w:spacing w:line="600" w:lineRule="exact"/>
        <w:ind w:firstLine="64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政府性基金预算拨款支出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w:t>
      </w:r>
    </w:p>
    <w:p>
      <w:pPr>
        <w:numPr>
          <w:ilvl w:val="0"/>
          <w:numId w:val="2"/>
        </w:numPr>
        <w:spacing w:line="600" w:lineRule="exact"/>
        <w:ind w:left="0" w:firstLine="640"/>
        <w:outlineLvl w:val="1"/>
        <w:rPr>
          <w:rStyle w:val="2Char"/>
          <w:rFonts w:ascii="仿宋_GB2312" w:eastAsia="仿宋_GB2312" w:cs="仿宋_GB2312" w:hint="eastAsia"/>
          <w:b w:val="0"/>
          <w:color w:val="auto"/>
          <w:sz w:val="28"/>
          <w:szCs w:val="28"/>
        </w:rPr>
      </w:pPr>
      <w:bookmarkStart w:id="58" w:name="_Toc15377219"/>
      <w:bookmarkStart w:id="59" w:name="_Toc7108"/>
      <w:r>
        <w:rPr>
          <w:rStyle w:val="2Char"/>
          <w:rFonts w:ascii="仿宋_GB2312" w:eastAsia="仿宋_GB2312" w:cs="仿宋_GB2312" w:hint="eastAsia"/>
          <w:b w:val="0"/>
          <w:color w:val="auto"/>
          <w:sz w:val="28"/>
          <w:szCs w:val="28"/>
        </w:rPr>
        <w:t>国有资本经营预算支出决算情况说明</w:t>
      </w:r>
      <w:bookmarkEnd w:id="58"/>
      <w:bookmarkEnd w:id="59"/>
    </w:p>
    <w:p>
      <w:pPr>
        <w:spacing w:line="600" w:lineRule="exact"/>
        <w:ind w:firstLine="64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国有资本经营预算拨款支出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万元。</w:t>
      </w:r>
    </w:p>
    <w:p>
      <w:pPr>
        <w:bidi w:val="0"/>
        <w:ind w:firstLineChars="200" w:firstLine="560"/>
        <w:rPr>
          <w:rFonts w:ascii="仿宋_GB2312" w:eastAsia="仿宋_GB2312" w:cs="仿宋_GB2312" w:hint="eastAsia"/>
          <w:sz w:val="28"/>
          <w:szCs w:val="28"/>
          <w:lang w:val="en-US" w:eastAsia="zh-CN"/>
        </w:rPr>
      </w:pPr>
      <w:r>
        <w:rPr>
          <w:rFonts w:ascii="仿宋_GB2312" w:eastAsia="仿宋_GB2312" w:cs="仿宋_GB2312" w:hint="eastAsia"/>
          <w:sz w:val="28"/>
          <w:szCs w:val="28"/>
          <w:lang w:val="en-US" w:eastAsia="zh-CN"/>
        </w:rPr>
        <w:t>十、其他重要事项的情况说明</w:t>
      </w:r>
    </w:p>
    <w:p>
      <w:pPr>
        <w:bidi w:val="0"/>
        <w:ind w:firstLineChars="200" w:firstLine="560"/>
        <w:rPr>
          <w:rFonts w:ascii="仿宋_GB2312" w:eastAsia="仿宋_GB2312" w:cs="仿宋_GB2312" w:hint="eastAsia"/>
          <w:sz w:val="28"/>
          <w:szCs w:val="28"/>
          <w:lang w:val="en-US" w:eastAsia="zh-CN"/>
        </w:rPr>
      </w:pPr>
      <w:bookmarkStart w:id="60" w:name="_Toc15377222"/>
      <w:r>
        <w:rPr>
          <w:rFonts w:ascii="仿宋_GB2312" w:eastAsia="仿宋_GB2312" w:cs="仿宋_GB2312" w:hint="eastAsia"/>
          <w:sz w:val="28"/>
          <w:szCs w:val="28"/>
          <w:lang w:val="en-US" w:eastAsia="zh-CN"/>
        </w:rPr>
        <w:t>（一）机关运行经费支出情况</w:t>
      </w:r>
      <w:bookmarkEnd w:id="60"/>
    </w:p>
    <w:p>
      <w:pPr>
        <w:bidi w:val="0"/>
        <w:ind w:firstLineChars="200" w:firstLine="560"/>
        <w:rPr>
          <w:rFonts w:ascii="仿宋_GB2312" w:eastAsia="仿宋_GB2312" w:cs="仿宋_GB2312" w:hint="eastAsia"/>
          <w:sz w:val="28"/>
          <w:szCs w:val="28"/>
          <w:lang w:val="en-US" w:eastAsia="zh-CN"/>
        </w:rPr>
      </w:pPr>
      <w:r>
        <w:rPr>
          <w:rFonts w:ascii="仿宋_GB2312" w:eastAsia="仿宋_GB2312" w:cs="仿宋_GB2312" w:hint="eastAsia"/>
          <w:sz w:val="28"/>
          <w:szCs w:val="28"/>
          <w:lang w:val="en-US" w:eastAsia="zh-CN"/>
        </w:rPr>
        <w:t>2020年，汶川县群众工作中心机关运行经费支出0万元。</w:t>
      </w:r>
    </w:p>
    <w:p>
      <w:pPr>
        <w:bidi w:val="0"/>
        <w:ind w:firstLineChars="200" w:firstLine="560"/>
        <w:rPr>
          <w:rFonts w:ascii="仿宋_GB2312" w:eastAsia="仿宋_GB2312" w:cs="仿宋_GB2312" w:hint="eastAsia"/>
          <w:sz w:val="28"/>
          <w:szCs w:val="28"/>
          <w:lang w:val="en-US" w:eastAsia="zh-CN"/>
        </w:rPr>
      </w:pPr>
      <w:bookmarkStart w:id="61" w:name="_Toc15377223"/>
      <w:r>
        <w:rPr>
          <w:rFonts w:ascii="仿宋_GB2312" w:eastAsia="仿宋_GB2312" w:cs="仿宋_GB2312" w:hint="eastAsia"/>
          <w:sz w:val="28"/>
          <w:szCs w:val="28"/>
          <w:lang w:val="en-US" w:eastAsia="zh-CN"/>
        </w:rPr>
        <w:t>（二）政府采购支出情况</w:t>
      </w:r>
      <w:bookmarkEnd w:id="61"/>
    </w:p>
    <w:p>
      <w:pPr>
        <w:bidi w:val="0"/>
        <w:ind w:firstLineChars="200" w:firstLine="560"/>
        <w:rPr>
          <w:rFonts w:ascii="仿宋_GB2312" w:eastAsia="仿宋_GB2312" w:cs="仿宋_GB2312" w:hint="eastAsia"/>
          <w:sz w:val="28"/>
          <w:szCs w:val="28"/>
          <w:lang w:val="en-US" w:eastAsia="zh-CN"/>
        </w:rPr>
      </w:pPr>
      <w:r>
        <w:rPr>
          <w:rFonts w:ascii="仿宋_GB2312" w:eastAsia="仿宋_GB2312" w:cs="仿宋_GB2312" w:hint="eastAsia"/>
          <w:sz w:val="28"/>
          <w:szCs w:val="28"/>
          <w:lang w:val="en-US" w:eastAsia="zh-CN"/>
        </w:rPr>
        <w:t>2020年，汶川县信访局政府采购支出总额0万元。授予中小企业合同金额0万元，占政府采购支出总额的0%，其中：授予小微企业合同金额0万元，占政府采购支出总额的0%。</w:t>
      </w:r>
    </w:p>
    <w:p>
      <w:pPr>
        <w:bidi w:val="0"/>
        <w:ind w:firstLineChars="200" w:firstLine="560"/>
        <w:rPr>
          <w:rFonts w:ascii="仿宋_GB2312" w:eastAsia="仿宋_GB2312" w:cs="仿宋_GB2312" w:hint="eastAsia"/>
          <w:sz w:val="28"/>
          <w:szCs w:val="28"/>
          <w:lang w:val="en-US" w:eastAsia="zh-CN"/>
        </w:rPr>
      </w:pPr>
      <w:bookmarkStart w:id="62" w:name="_Toc15377224"/>
      <w:r>
        <w:rPr>
          <w:rFonts w:ascii="仿宋_GB2312" w:eastAsia="仿宋_GB2312" w:cs="仿宋_GB2312" w:hint="eastAsia"/>
          <w:sz w:val="28"/>
          <w:szCs w:val="28"/>
          <w:lang w:val="en-US" w:eastAsia="zh-CN"/>
        </w:rPr>
        <w:t>（三）国有资产占有使用情况</w:t>
      </w:r>
      <w:bookmarkEnd w:id="62"/>
    </w:p>
    <w:p>
      <w:pPr>
        <w:bidi w:val="0"/>
        <w:ind w:firstLineChars="200" w:firstLine="560"/>
        <w:rPr>
          <w:rFonts w:ascii="仿宋_GB2312" w:eastAsia="仿宋_GB2312" w:cs="仿宋_GB2312" w:hint="eastAsia"/>
          <w:color w:val="auto"/>
          <w:sz w:val="28"/>
          <w:szCs w:val="28"/>
        </w:rPr>
      </w:pPr>
      <w:r>
        <w:rPr>
          <w:rFonts w:ascii="仿宋_GB2312" w:eastAsia="仿宋_GB2312" w:cs="仿宋_GB2312" w:hint="eastAsia"/>
          <w:sz w:val="28"/>
          <w:szCs w:val="28"/>
          <w:lang w:val="en-US" w:eastAsia="zh-CN"/>
        </w:rPr>
        <w:t>截至2020年12月31日，汶川县信访局共有车辆0辆，其中：部级领导干部用车0辆、一般公务用车0辆、一般执法执勤用车0辆、特种专业技术用车0辆、其他用车0辆，单价50万元以上通用设备0台（套），单价100万元以上专用设备0台（套）。</w:t>
      </w:r>
    </w:p>
    <w:p>
      <w:pPr>
        <w:pStyle w:val="24"/>
        <w:spacing w:line="580" w:lineRule="exact"/>
        <w:ind w:left="709"/>
        <w:rPr>
          <w:rStyle w:val="2Char"/>
          <w:rFonts w:ascii="仿宋_GB2312" w:eastAsia="仿宋_GB2312" w:cs="仿宋_GB2312" w:hint="eastAsia"/>
          <w:b w:val="0"/>
          <w:color w:val="auto"/>
          <w:sz w:val="28"/>
          <w:szCs w:val="28"/>
        </w:rPr>
      </w:pPr>
      <w:bookmarkStart w:id="63" w:name="_Toc14575"/>
      <w:r>
        <w:rPr>
          <w:rStyle w:val="2Char"/>
          <w:rFonts w:ascii="仿宋_GB2312" w:eastAsia="仿宋_GB2312" w:cs="仿宋_GB2312" w:hint="eastAsia"/>
          <w:b w:val="0"/>
          <w:color w:val="auto"/>
          <w:sz w:val="28"/>
          <w:szCs w:val="28"/>
          <w:lang w:eastAsia="zh-CN"/>
        </w:rPr>
        <w:t>（四）</w:t>
      </w:r>
      <w:r>
        <w:rPr>
          <w:rStyle w:val="2Char"/>
          <w:rFonts w:ascii="仿宋_GB2312" w:eastAsia="仿宋_GB2312" w:cs="仿宋_GB2312" w:hint="eastAsia"/>
          <w:b w:val="0"/>
          <w:color w:val="auto"/>
          <w:sz w:val="28"/>
          <w:szCs w:val="28"/>
        </w:rPr>
        <w:t>预算绩效情况说明</w:t>
      </w:r>
    </w:p>
    <w:p>
      <w:pPr>
        <w:spacing w:line="580" w:lineRule="exact"/>
        <w:ind w:left="0" w:firstLineChars="200" w:firstLine="560"/>
        <w:rPr>
          <w:rStyle w:val="2Char"/>
          <w:rFonts w:ascii="仿宋_GB2312" w:eastAsia="仿宋_GB2312" w:cs="仿宋_GB2312" w:hint="eastAsia"/>
          <w:b w:val="0"/>
          <w:color w:val="auto"/>
          <w:kern w:val="2"/>
          <w:sz w:val="28"/>
          <w:szCs w:val="28"/>
          <w:lang w:val="en-US" w:eastAsia="zh-CN" w:bidi="ar-SA"/>
        </w:rPr>
      </w:pPr>
      <w:bookmarkStart w:id="64" w:name="_Toc7477"/>
      <w:bookmarkEnd w:id="63"/>
      <w:r>
        <w:rPr>
          <w:rStyle w:val="2Char"/>
          <w:rFonts w:ascii="仿宋_GB2312" w:eastAsia="仿宋_GB2312" w:cs="仿宋_GB2312" w:hint="eastAsia"/>
          <w:b w:val="0"/>
          <w:color w:val="auto"/>
          <w:kern w:val="2"/>
          <w:sz w:val="28"/>
          <w:szCs w:val="28"/>
          <w:lang w:val="en-US" w:eastAsia="zh-CN" w:bidi="ar-SA"/>
        </w:rPr>
        <w:t>1.预算绩效管理工作开展情况。</w:t>
      </w:r>
    </w:p>
    <w:p>
      <w:pPr>
        <w:spacing w:line="580" w:lineRule="exact"/>
        <w:ind w:firstLineChars="200" w:firstLine="560"/>
        <w:rPr>
          <w:rStyle w:val="2Char"/>
          <w:rFonts w:ascii="仿宋_GB2312" w:eastAsia="仿宋_GB2312" w:cs="仿宋_GB2312" w:hint="eastAsia"/>
          <w:b w:val="0"/>
          <w:color w:val="auto"/>
          <w:kern w:val="2"/>
          <w:sz w:val="28"/>
          <w:szCs w:val="28"/>
          <w:lang w:val="en-US" w:eastAsia="zh-CN" w:bidi="ar-SA"/>
        </w:rPr>
      </w:pPr>
      <w:bookmarkStart w:id="65" w:name="_Toc12416"/>
      <w:bookmarkEnd w:id="64"/>
      <w:r>
        <w:rPr>
          <w:rStyle w:val="2Char"/>
          <w:rFonts w:ascii="仿宋_GB2312" w:eastAsia="仿宋_GB2312" w:cs="仿宋_GB2312" w:hint="eastAsia"/>
          <w:b w:val="0"/>
          <w:color w:val="auto"/>
          <w:kern w:val="2"/>
          <w:sz w:val="28"/>
          <w:szCs w:val="28"/>
          <w:lang w:val="en-US" w:eastAsia="zh-CN" w:bidi="ar-SA"/>
        </w:rPr>
        <w:t>无。</w:t>
      </w:r>
    </w:p>
    <w:p>
      <w:pPr>
        <w:numPr>
          <w:ilvl w:val="0"/>
          <w:numId w:val="3"/>
        </w:numPr>
        <w:tabs>
          <w:tab w:val="left" w:pos="312"/>
        </w:tabs>
        <w:spacing w:line="580" w:lineRule="exact"/>
        <w:ind w:left="0" w:firstLineChars="200" w:firstLine="560"/>
        <w:rPr>
          <w:rStyle w:val="2Char"/>
          <w:rFonts w:ascii="仿宋_GB2312" w:eastAsia="仿宋_GB2312" w:cs="仿宋_GB2312" w:hint="eastAsia"/>
          <w:b w:val="0"/>
          <w:color w:val="auto"/>
          <w:kern w:val="2"/>
          <w:sz w:val="28"/>
          <w:szCs w:val="28"/>
          <w:lang w:val="en-US" w:eastAsia="zh-CN" w:bidi="ar-SA"/>
        </w:rPr>
      </w:pPr>
      <w:bookmarkStart w:id="66" w:name="_Toc7158"/>
      <w:bookmarkEnd w:id="65"/>
      <w:r>
        <w:rPr>
          <w:rStyle w:val="2Char"/>
          <w:rFonts w:ascii="仿宋_GB2312" w:eastAsia="仿宋_GB2312" w:cs="仿宋_GB2312" w:hint="eastAsia"/>
          <w:b w:val="0"/>
          <w:color w:val="auto"/>
          <w:kern w:val="2"/>
          <w:sz w:val="28"/>
          <w:szCs w:val="28"/>
          <w:lang w:val="en-US" w:eastAsia="zh-CN" w:bidi="ar-SA"/>
        </w:rPr>
        <w:t>项目绩效目标完成情况。</w:t>
      </w:r>
    </w:p>
    <w:p>
      <w:pPr>
        <w:numPr>
          <w:ilvl w:val="0"/>
          <w:numId w:val="3"/>
        </w:numPr>
        <w:tabs>
          <w:tab w:val="left" w:pos="312"/>
        </w:tabs>
        <w:spacing w:line="580" w:lineRule="exact"/>
        <w:ind w:left="0" w:firstLineChars="200" w:firstLine="560"/>
        <w:rPr>
          <w:rStyle w:val="2Char"/>
          <w:rFonts w:ascii="仿宋_GB2312" w:eastAsia="仿宋_GB2312" w:cs="仿宋_GB2312" w:hint="eastAsia"/>
          <w:b w:val="0"/>
          <w:color w:val="auto"/>
          <w:kern w:val="2"/>
          <w:sz w:val="28"/>
          <w:szCs w:val="28"/>
          <w:lang w:val="en-US" w:eastAsia="zh-CN" w:bidi="ar-SA"/>
        </w:rPr>
      </w:pPr>
      <w:bookmarkStart w:id="67" w:name="_Toc30848"/>
      <w:bookmarkEnd w:id="66"/>
      <w:r>
        <w:rPr>
          <w:rStyle w:val="2Char"/>
          <w:rFonts w:ascii="仿宋_GB2312" w:eastAsia="仿宋_GB2312" w:cs="仿宋_GB2312" w:hint="eastAsia"/>
          <w:b w:val="0"/>
          <w:color w:val="auto"/>
          <w:kern w:val="2"/>
          <w:sz w:val="28"/>
          <w:szCs w:val="28"/>
          <w:lang w:val="en-US" w:eastAsia="zh-CN" w:bidi="ar-SA"/>
        </w:rPr>
        <w:t>无。</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4"/>
              <w:widowControl/>
              <w:ind w:leftChars="1310" w:left="3857" w:hangingChars="395" w:hanging="1106"/>
              <w:textAlignment w:val="center"/>
              <w:rPr>
                <w:rFonts w:ascii="仿宋_GB2312" w:eastAsia="仿宋_GB2312" w:cs="仿宋_GB2312" w:hint="eastAsia"/>
                <w:bCs/>
                <w:color w:val="auto"/>
                <w:kern w:val="0"/>
                <w:sz w:val="28"/>
                <w:szCs w:val="28"/>
                <w:lang w:eastAsia="zh-CN"/>
              </w:rPr>
            </w:pPr>
            <w:bookmarkEnd w:id="67"/>
            <w:r>
              <w:rPr>
                <w:rFonts w:ascii="仿宋_GB2312" w:eastAsia="仿宋_GB2312" w:cs="仿宋_GB2312" w:hint="eastAsia"/>
                <w:bCs/>
                <w:color w:val="auto"/>
                <w:kern w:val="0"/>
                <w:sz w:val="28"/>
                <w:szCs w:val="28"/>
              </w:rPr>
              <w:t>项目支出绩效目标完成情况表</w:t>
            </w:r>
          </w:p>
          <w:p>
            <w:pPr>
              <w:pStyle w:val="24"/>
              <w:widowControl/>
              <w:ind w:leftChars="1310" w:left="3857" w:hangingChars="395" w:hanging="1106"/>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w:t>
            </w:r>
            <w:r>
              <w:rPr>
                <w:rFonts w:ascii="仿宋_GB2312" w:eastAsia="仿宋_GB2312" w:cs="仿宋_GB2312" w:hint="eastAsia"/>
                <w:color w:val="auto"/>
                <w:kern w:val="0"/>
                <w:sz w:val="28"/>
                <w:szCs w:val="28"/>
                <w:lang w:eastAsia="zh-CN"/>
              </w:rPr>
              <w:t>2020</w:t>
            </w:r>
            <w:r>
              <w:rPr>
                <w:rFonts w:ascii="仿宋_GB2312" w:eastAsia="仿宋_GB2312" w:cs="仿宋_GB2312" w:hint="eastAsia"/>
                <w:color w:val="auto"/>
                <w:kern w:val="0"/>
                <w:sz w:val="28"/>
                <w:szCs w:val="28"/>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仿宋_GB2312" w:eastAsia="仿宋_GB2312" w:cs="仿宋_GB2312" w:hint="eastAsia"/>
                <w:color w:val="auto"/>
                <w:sz w:val="28"/>
                <w:szCs w:val="28"/>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r>
        <w:trPr>
          <w:trHeight w:val="1050"/>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仿宋_GB2312" w:eastAsia="仿宋_GB2312" w:cs="仿宋_GB2312" w:hint="eastAsia"/>
                <w:color w:val="auto"/>
                <w:sz w:val="28"/>
                <w:szCs w:val="28"/>
              </w:rPr>
            </w:pPr>
          </w:p>
        </w:tc>
      </w:tr>
    </w:tbl>
    <w:p>
      <w:pPr>
        <w:spacing w:line="580" w:lineRule="exact"/>
        <w:rPr>
          <w:rFonts w:ascii="仿宋_GB2312" w:eastAsia="仿宋_GB2312" w:cs="仿宋_GB2312" w:hint="eastAsia"/>
          <w:color w:val="auto"/>
          <w:sz w:val="28"/>
          <w:szCs w:val="28"/>
        </w:rPr>
      </w:pPr>
    </w:p>
    <w:p>
      <w:pPr>
        <w:spacing w:line="580" w:lineRule="exact"/>
        <w:rPr>
          <w:rFonts w:ascii="仿宋_GB2312" w:eastAsia="仿宋_GB2312" w:cs="仿宋_GB2312" w:hint="eastAsia"/>
          <w:b w:val="0"/>
          <w:bCs w:val="0"/>
          <w:color w:val="auto"/>
          <w:sz w:val="28"/>
          <w:szCs w:val="28"/>
        </w:rPr>
      </w:pPr>
      <w:r>
        <w:rPr>
          <w:rFonts w:ascii="仿宋_GB2312" w:eastAsia="仿宋_GB2312" w:cs="仿宋_GB2312" w:hint="eastAsia"/>
          <w:b w:val="0"/>
          <w:bCs w:val="0"/>
          <w:color w:val="auto"/>
          <w:sz w:val="28"/>
          <w:szCs w:val="28"/>
          <w:lang w:val="en-US" w:eastAsia="zh-CN"/>
        </w:rPr>
        <w:t>2.</w:t>
      </w:r>
      <w:r>
        <w:rPr>
          <w:rFonts w:ascii="仿宋_GB2312" w:eastAsia="仿宋_GB2312" w:cs="仿宋_GB2312" w:hint="eastAsia"/>
          <w:b w:val="0"/>
          <w:bCs w:val="0"/>
          <w:color w:val="auto"/>
          <w:sz w:val="28"/>
          <w:szCs w:val="28"/>
        </w:rPr>
        <w:t>部门开展绩效评价结果。</w:t>
      </w:r>
    </w:p>
    <w:p>
      <w:pPr>
        <w:spacing w:line="600" w:lineRule="exact"/>
        <w:outlineLvl w:val="1"/>
        <w:rPr>
          <w:rFonts w:ascii="仿宋_GB2312" w:eastAsia="仿宋_GB2312" w:cs="仿宋_GB2312" w:hint="eastAsia"/>
          <w:color w:val="auto"/>
          <w:sz w:val="28"/>
          <w:szCs w:val="28"/>
          <w:lang w:val="en-US" w:eastAsia="zh-CN"/>
        </w:rPr>
      </w:pPr>
      <w:bookmarkStart w:id="68" w:name="_Toc6482"/>
      <w:bookmarkStart w:id="69" w:name="_Toc15377221"/>
      <w:r>
        <w:rPr>
          <w:rFonts w:ascii="仿宋_GB2312" w:eastAsia="仿宋_GB2312" w:cs="仿宋_GB2312" w:hint="eastAsia"/>
          <w:color w:val="auto"/>
          <w:sz w:val="28"/>
          <w:szCs w:val="28"/>
          <w:lang w:val="en-US" w:eastAsia="zh-CN"/>
        </w:rPr>
        <w:t>无。</w:t>
      </w:r>
      <w:bookmarkEnd w:id="68"/>
    </w:p>
    <w:p>
      <w:pPr>
        <w:widowControl/>
        <w:jc w:val="left"/>
        <w:rPr>
          <w:rFonts w:ascii="仿宋_GB2312" w:eastAsia="仿宋_GB2312" w:cs="仿宋_GB2312" w:hint="eastAsia"/>
          <w:b/>
          <w:color w:val="auto"/>
          <w:sz w:val="28"/>
          <w:szCs w:val="28"/>
        </w:rPr>
      </w:pPr>
      <w:bookmarkEnd w:id="69"/>
      <w:r>
        <w:rPr>
          <w:rFonts w:ascii="仿宋_GB2312" w:eastAsia="仿宋_GB2312" w:cs="仿宋_GB2312" w:hint="eastAsia"/>
          <w:b/>
          <w:color w:val="auto"/>
          <w:sz w:val="28"/>
          <w:szCs w:val="28"/>
        </w:rPr>
        <w:br w:type="page"/>
      </w:r>
    </w:p>
    <w:p>
      <w:pPr>
        <w:numPr>
          <w:ilvl w:val="0"/>
          <w:numId w:val="4"/>
        </w:numPr>
        <w:spacing w:line="600" w:lineRule="exact"/>
        <w:ind w:left="0" w:firstLineChars="150" w:firstLine="420"/>
        <w:jc w:val="center"/>
        <w:outlineLvl w:val="0"/>
        <w:rPr>
          <w:rStyle w:val="1Char"/>
          <w:rFonts w:ascii="仿宋_GB2312" w:eastAsia="仿宋_GB2312" w:cs="仿宋_GB2312" w:hint="eastAsia"/>
          <w:b w:val="0"/>
          <w:color w:val="auto"/>
          <w:sz w:val="28"/>
          <w:szCs w:val="28"/>
        </w:rPr>
      </w:pPr>
      <w:bookmarkStart w:id="70" w:name="_Toc15377225"/>
      <w:bookmarkStart w:id="71" w:name="_Toc6656"/>
      <w:r>
        <w:rPr>
          <w:rFonts w:ascii="仿宋_GB2312" w:eastAsia="仿宋_GB2312" w:cs="仿宋_GB2312" w:hint="eastAsia"/>
          <w:b/>
          <w:color w:val="auto"/>
          <w:sz w:val="28"/>
          <w:szCs w:val="28"/>
        </w:rPr>
        <w:t>名</w:t>
      </w:r>
      <w:r>
        <w:rPr>
          <w:rStyle w:val="1Char"/>
          <w:rFonts w:ascii="仿宋_GB2312" w:eastAsia="仿宋_GB2312" w:cs="仿宋_GB2312" w:hint="eastAsia"/>
          <w:b w:val="0"/>
          <w:color w:val="auto"/>
          <w:sz w:val="28"/>
          <w:szCs w:val="28"/>
        </w:rPr>
        <w:t>词解释</w:t>
      </w:r>
      <w:bookmarkEnd w:id="70"/>
      <w:bookmarkEnd w:id="71"/>
    </w:p>
    <w:p>
      <w:pPr>
        <w:spacing w:line="600" w:lineRule="exact"/>
        <w:jc w:val="left"/>
        <w:rPr>
          <w:rFonts w:ascii="仿宋_GB2312" w:eastAsia="仿宋_GB2312" w:cs="仿宋_GB2312" w:hint="eastAsia"/>
          <w:b/>
          <w:color w:val="auto"/>
          <w:sz w:val="28"/>
          <w:szCs w:val="28"/>
        </w:rPr>
      </w:pP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1.财政拨款收入：指单位从同级财政部门取得的财政预算资金。</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2.事业收入：指事业单位开展专业业务活动及辅助活动取得的收入。如…（二级预算单位事业收入情况）等。</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3.经营收入：指事业单位在专业业务活动及其辅助活动之外开展非独立核算经营活动取得的收入。如…（二级预算单位经营收入情况）等。</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 xml:space="preserve">4.其他收入：指单位取得的除上述收入以外的各项收入。主要是…（收入类型）等。 </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 xml:space="preserve">5.年初结转和结余：指以前年度尚未完成、结转到本年按有关规定继续使用的资金。 </w:t>
      </w:r>
    </w:p>
    <w:p>
      <w:pPr>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val="en-US" w:eastAsia="zh-CN"/>
        </w:rPr>
        <w:t>6</w:t>
      </w:r>
      <w:r>
        <w:rPr>
          <w:rFonts w:ascii="仿宋_GB2312" w:eastAsia="仿宋_GB2312" w:cs="仿宋_GB2312" w:hint="eastAsia"/>
          <w:color w:val="auto"/>
          <w:sz w:val="28"/>
          <w:szCs w:val="28"/>
        </w:rPr>
        <w:t>.基本支出：指为保障机构正常运转、完成日常工作任务而发生的人员支出和公用支出。</w:t>
      </w:r>
    </w:p>
    <w:p>
      <w:pPr>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val="en-US" w:eastAsia="zh-CN"/>
        </w:rPr>
        <w:t>7</w:t>
      </w:r>
      <w:r>
        <w:rPr>
          <w:rFonts w:ascii="仿宋_GB2312" w:eastAsia="仿宋_GB2312" w:cs="仿宋_GB2312" w:hint="eastAsia"/>
          <w:color w:val="auto"/>
          <w:sz w:val="28"/>
          <w:szCs w:val="28"/>
        </w:rPr>
        <w:t xml:space="preserve">.项目支出：指在基本支出之外为完成特定行政任务和事业发展目标所发生的支出。 </w:t>
      </w:r>
    </w:p>
    <w:p>
      <w:pPr>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val="en-US" w:eastAsia="zh-CN"/>
        </w:rPr>
        <w:t>8</w:t>
      </w:r>
      <w:r>
        <w:rPr>
          <w:rFonts w:ascii="仿宋_GB2312" w:eastAsia="仿宋_GB2312" w:cs="仿宋_GB2312" w:hint="eastAsia"/>
          <w:color w:val="auto"/>
          <w:sz w:val="28"/>
          <w:szCs w:val="28"/>
        </w:rPr>
        <w:t>.经营支出：指事业单位在专业业务活动及其辅助活动之外开展非独立核算经营活动发生的支出。</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val="en-US" w:eastAsia="zh-CN"/>
        </w:rPr>
        <w:t>9</w:t>
      </w:r>
      <w:r>
        <w:rPr>
          <w:rFonts w:ascii="仿宋_GB2312" w:eastAsia="仿宋_GB2312" w:cs="仿宋_GB2312" w:hint="eastAsia"/>
          <w:color w:val="auto"/>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val="en-US" w:eastAsia="zh-CN"/>
        </w:rPr>
        <w:t>10</w:t>
      </w:r>
      <w:r>
        <w:rPr>
          <w:rFonts w:ascii="仿宋_GB2312" w:eastAsia="仿宋_GB2312" w:cs="仿宋_GB2312" w:hint="eastAsia"/>
          <w:color w:val="auto"/>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eastAsia="仿宋_GB2312" w:cs="仿宋_GB2312" w:hint="eastAsia"/>
          <w:color w:val="auto"/>
          <w:sz w:val="28"/>
          <w:szCs w:val="28"/>
        </w:rPr>
      </w:pPr>
      <w:bookmarkStart w:id="72" w:name="_Toc15377226"/>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Fonts w:ascii="仿宋_GB2312" w:eastAsia="仿宋_GB2312" w:cs="仿宋_GB2312" w:hint="eastAsia"/>
          <w:color w:val="auto"/>
          <w:sz w:val="28"/>
          <w:szCs w:val="28"/>
        </w:rPr>
      </w:pPr>
    </w:p>
    <w:p>
      <w:pPr>
        <w:spacing w:line="600" w:lineRule="exact"/>
        <w:jc w:val="center"/>
        <w:outlineLvl w:val="0"/>
        <w:rPr>
          <w:rStyle w:val="1Char"/>
          <w:color w:val="auto"/>
          <w:sz w:val="28"/>
          <w:szCs w:val="28"/>
        </w:rPr>
      </w:pPr>
      <w:bookmarkStart w:id="73" w:name="_Toc6971"/>
      <w:r>
        <w:rPr>
          <w:rFonts w:ascii="黑体" w:eastAsia="黑体" w:hint="eastAsia"/>
          <w:color w:val="auto"/>
          <w:sz w:val="28"/>
          <w:szCs w:val="28"/>
        </w:rPr>
        <w:t>第</w:t>
      </w:r>
      <w:r>
        <w:rPr>
          <w:rStyle w:val="1Char"/>
          <w:rFonts w:ascii="黑体" w:eastAsia="黑体" w:hint="eastAsia"/>
          <w:b w:val="0"/>
          <w:color w:val="auto"/>
          <w:sz w:val="28"/>
          <w:szCs w:val="28"/>
        </w:rPr>
        <w:t>四部分 附件</w:t>
      </w:r>
      <w:bookmarkEnd w:id="73"/>
    </w:p>
    <w:p>
      <w:pPr>
        <w:pStyle w:val="2"/>
        <w:rPr>
          <w:rStyle w:val="1Char"/>
          <w:rFonts w:ascii="仿宋" w:eastAsia="仿宋"/>
          <w:b w:val="0"/>
          <w:bCs w:val="0"/>
          <w:color w:val="auto"/>
          <w:sz w:val="28"/>
          <w:szCs w:val="28"/>
        </w:rPr>
      </w:pPr>
      <w:bookmarkStart w:id="74" w:name="_Toc18345"/>
      <w:r>
        <w:rPr>
          <w:rStyle w:val="1Char"/>
          <w:rFonts w:ascii="仿宋" w:eastAsia="仿宋" w:hint="eastAsia"/>
          <w:b w:val="0"/>
          <w:bCs w:val="0"/>
          <w:color w:val="auto"/>
          <w:sz w:val="28"/>
          <w:szCs w:val="28"/>
        </w:rPr>
        <w:t>附件1</w:t>
      </w:r>
      <w:bookmarkEnd w:id="74"/>
    </w:p>
    <w:p>
      <w:pPr>
        <w:spacing w:line="600" w:lineRule="exact"/>
        <w:jc w:val="center"/>
        <w:outlineLvl w:val="0"/>
        <w:rPr>
          <w:rFonts w:ascii="黑体" w:eastAsia="黑体" w:cs="方正小标宋简体" w:hint="eastAsia"/>
          <w:color w:val="auto"/>
          <w:sz w:val="28"/>
          <w:szCs w:val="28"/>
          <w:lang w:eastAsia="zh-CN"/>
        </w:rPr>
      </w:pPr>
      <w:bookmarkStart w:id="75" w:name="_Toc17459"/>
      <w:bookmarkStart w:id="76" w:name="_Toc15396616"/>
      <w:r>
        <w:rPr>
          <w:rFonts w:ascii="黑体" w:eastAsia="黑体" w:cs="方正小标宋简体" w:hint="eastAsia"/>
          <w:color w:val="auto"/>
          <w:sz w:val="28"/>
          <w:szCs w:val="28"/>
          <w:lang w:eastAsia="zh-CN"/>
        </w:rPr>
        <w:t>汶川县信访局</w:t>
      </w:r>
      <w:bookmarkEnd w:id="75"/>
    </w:p>
    <w:p>
      <w:pPr>
        <w:spacing w:line="600" w:lineRule="exact"/>
        <w:jc w:val="center"/>
        <w:outlineLvl w:val="0"/>
        <w:rPr>
          <w:rFonts w:ascii="黑体" w:eastAsia="黑体" w:cs="黑体"/>
          <w:color w:val="auto"/>
          <w:sz w:val="28"/>
          <w:szCs w:val="28"/>
        </w:rPr>
      </w:pPr>
      <w:bookmarkStart w:id="77" w:name="_Toc21129"/>
      <w:r>
        <w:rPr>
          <w:rFonts w:ascii="黑体" w:eastAsia="黑体" w:cs="方正小标宋简体" w:hint="eastAsia"/>
          <w:color w:val="auto"/>
          <w:sz w:val="28"/>
          <w:szCs w:val="28"/>
          <w:lang w:eastAsia="zh-CN"/>
        </w:rPr>
        <w:t>20</w:t>
      </w:r>
      <w:r>
        <w:rPr>
          <w:rFonts w:ascii="黑体" w:eastAsia="黑体" w:cs="方正小标宋简体" w:hint="eastAsia"/>
          <w:color w:val="auto"/>
          <w:sz w:val="28"/>
          <w:szCs w:val="28"/>
          <w:lang w:val="en-US" w:eastAsia="zh-CN"/>
        </w:rPr>
        <w:t>20</w:t>
      </w:r>
      <w:r>
        <w:rPr>
          <w:rFonts w:ascii="黑体" w:eastAsia="黑体" w:cs="方正小标宋简体" w:hint="eastAsia"/>
          <w:color w:val="auto"/>
          <w:sz w:val="28"/>
          <w:szCs w:val="28"/>
          <w:lang w:eastAsia="zh-CN"/>
        </w:rPr>
        <w:t>年</w:t>
      </w:r>
      <w:r>
        <w:rPr>
          <w:rFonts w:ascii="黑体" w:eastAsia="黑体" w:cs="方正小标宋简体" w:hint="eastAsia"/>
          <w:color w:val="auto"/>
          <w:sz w:val="28"/>
          <w:szCs w:val="28"/>
        </w:rPr>
        <w:t>部门整体支出绩效评价报告</w:t>
      </w:r>
      <w:bookmarkEnd w:id="76"/>
      <w:bookmarkEnd w:id="77"/>
    </w:p>
    <w:p>
      <w:pPr>
        <w:widowControl/>
        <w:adjustRightInd w:val="0"/>
        <w:snapToGrid w:val="0"/>
        <w:spacing w:line="576" w:lineRule="exact"/>
        <w:ind w:firstLine="720"/>
        <w:jc w:val="left"/>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rPr>
        <w:t>一、</w:t>
      </w:r>
      <w:r>
        <w:rPr>
          <w:rFonts w:ascii="仿宋_GB2312" w:eastAsia="仿宋_GB2312" w:cs="仿宋_GB2312" w:hint="eastAsia"/>
          <w:color w:val="auto"/>
          <w:kern w:val="0"/>
          <w:sz w:val="28"/>
          <w:szCs w:val="28"/>
          <w:lang w:val="zh-CN"/>
        </w:rPr>
        <w:t>部门（单位）概况</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（一）机构组成</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阿坝州汶川县信访局属一级预算单位。根据三定方案，阿坝州汶川县信访局是</w:t>
      </w:r>
      <w:r>
        <w:rPr>
          <w:rFonts w:ascii="仿宋_GB2312" w:eastAsia="仿宋_GB2312" w:cs="仿宋_GB2312" w:hint="eastAsia"/>
          <w:color w:val="auto"/>
          <w:sz w:val="28"/>
          <w:szCs w:val="28"/>
        </w:rPr>
        <w:t>县人民政府的部门，列政府序列</w:t>
      </w:r>
      <w:r>
        <w:rPr>
          <w:rFonts w:ascii="仿宋_GB2312" w:eastAsia="仿宋_GB2312" w:cs="仿宋_GB2312" w:hint="eastAsia"/>
          <w:color w:val="auto"/>
          <w:kern w:val="0"/>
          <w:sz w:val="28"/>
          <w:szCs w:val="28"/>
        </w:rPr>
        <w:t>，下设办公室、信访接待股和督查督办股。</w:t>
      </w:r>
    </w:p>
    <w:p>
      <w:pPr>
        <w:widowControl/>
        <w:numPr>
          <w:ilvl w:val="0"/>
          <w:numId w:val="5"/>
        </w:numPr>
        <w:adjustRightInd w:val="0"/>
        <w:snapToGrid w:val="0"/>
        <w:spacing w:line="576" w:lineRule="exact"/>
        <w:ind w:left="0"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机构职能</w:t>
      </w:r>
    </w:p>
    <w:p>
      <w:pPr>
        <w:widowControl/>
        <w:adjustRightInd w:val="0"/>
        <w:snapToGrid w:val="0"/>
        <w:spacing w:line="576" w:lineRule="exact"/>
        <w:ind w:firstLineChars="200" w:firstLine="56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根据三定方案规定，主要职责为：</w:t>
      </w:r>
      <w:r>
        <w:rPr>
          <w:rFonts w:ascii="仿宋_GB2312" w:eastAsia="仿宋_GB2312" w:cs="仿宋_GB2312" w:hint="eastAsia"/>
          <w:color w:val="auto"/>
          <w:sz w:val="28"/>
          <w:szCs w:val="28"/>
        </w:rPr>
        <w:t>贯彻落实党中央关于信访工作的方针政策和省委、州委、县委决策部署，在履行职责过程</w:t>
      </w:r>
      <w:r>
        <w:rPr>
          <w:rFonts w:ascii="仿宋_GB2312" w:eastAsia="仿宋_GB2312" w:cs="仿宋_GB2312" w:hint="eastAsia"/>
          <w:color w:val="auto"/>
          <w:kern w:val="0"/>
          <w:sz w:val="28"/>
          <w:szCs w:val="28"/>
        </w:rPr>
        <w:t>中坚持和加强党对信访工作的集中统一领导。因机构改革，</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由汶川县委机构编制委员会同意我局下设一个副科级事业机构汶川县信访接待中心。</w:t>
      </w:r>
    </w:p>
    <w:p>
      <w:pPr>
        <w:widowControl/>
        <w:numPr>
          <w:ilvl w:val="0"/>
          <w:numId w:val="5"/>
        </w:numPr>
        <w:adjustRightInd w:val="0"/>
        <w:snapToGrid w:val="0"/>
        <w:spacing w:line="576" w:lineRule="exact"/>
        <w:ind w:left="0"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人员概况</w:t>
      </w:r>
    </w:p>
    <w:p>
      <w:pPr>
        <w:spacing w:line="576" w:lineRule="exact"/>
        <w:ind w:firstLineChars="199" w:firstLine="557"/>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rPr>
        <w:t>阿坝州汶川县信访局总编制10名，其中：其中:行政编制6名,参照公务员法管理的事业编制0名，行政工勤1名，其他事业编制3名</w:t>
      </w:r>
      <w:r>
        <w:rPr>
          <w:rFonts w:ascii="仿宋_GB2312" w:eastAsia="仿宋_GB2312" w:cs="仿宋_GB2312" w:hint="eastAsia"/>
          <w:color w:val="auto"/>
          <w:sz w:val="28"/>
          <w:szCs w:val="28"/>
        </w:rPr>
        <w:t>。</w:t>
      </w:r>
      <w:r>
        <w:rPr>
          <w:rFonts w:ascii="仿宋_GB2312" w:eastAsia="仿宋_GB2312" w:cs="仿宋_GB2312" w:hint="eastAsia"/>
          <w:color w:val="auto"/>
          <w:kern w:val="0"/>
          <w:sz w:val="28"/>
          <w:szCs w:val="28"/>
        </w:rPr>
        <w:t>在职人员总数9名，其中：行政人员6名，参照公务员法管理的事业人员0名，其他事业人员2名，行政工勤1名；离休人员0人，退休人员2人。</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二、部门财政资金收支情况</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（一）部门财政资金收入情况</w:t>
      </w:r>
    </w:p>
    <w:p>
      <w:pPr>
        <w:spacing w:line="576"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阿坝州汶川县信访局实际收到一般公共预算拨款收入</w:t>
      </w:r>
      <w:r>
        <w:rPr>
          <w:rFonts w:ascii="仿宋_GB2312" w:eastAsia="仿宋_GB2312" w:cs="仿宋_GB2312" w:hint="eastAsia"/>
          <w:color w:val="auto"/>
          <w:sz w:val="28"/>
          <w:szCs w:val="28"/>
          <w:lang w:val="en-US" w:eastAsia="zh-CN"/>
        </w:rPr>
        <w:t>171.03</w:t>
      </w:r>
      <w:r>
        <w:rPr>
          <w:rFonts w:ascii="仿宋_GB2312" w:eastAsia="仿宋_GB2312" w:cs="仿宋_GB2312" w:hint="eastAsia"/>
          <w:color w:val="auto"/>
          <w:sz w:val="28"/>
          <w:szCs w:val="28"/>
        </w:rPr>
        <w:t>万元，</w:t>
      </w:r>
      <w:r>
        <w:rPr>
          <w:rFonts w:ascii="仿宋_GB2312" w:eastAsia="仿宋_GB2312" w:cs="仿宋_GB2312" w:hint="eastAsia"/>
          <w:color w:val="auto"/>
          <w:sz w:val="28"/>
          <w:szCs w:val="28"/>
          <w:lang w:eastAsia="zh-CN"/>
        </w:rPr>
        <w:t>政府性基金预算财政拨款收入</w:t>
      </w:r>
      <w:r>
        <w:rPr>
          <w:rFonts w:ascii="仿宋_GB2312" w:eastAsia="仿宋_GB2312" w:cs="仿宋_GB2312" w:hint="eastAsia"/>
          <w:color w:val="auto"/>
          <w:sz w:val="28"/>
          <w:szCs w:val="28"/>
          <w:lang w:val="en-US" w:eastAsia="zh-CN"/>
        </w:rPr>
        <w:t>0.46万元，</w:t>
      </w:r>
      <w:r>
        <w:rPr>
          <w:rFonts w:ascii="仿宋_GB2312" w:eastAsia="仿宋_GB2312" w:cs="仿宋_GB2312" w:hint="eastAsia"/>
          <w:color w:val="auto"/>
          <w:sz w:val="28"/>
          <w:szCs w:val="28"/>
        </w:rPr>
        <w:t>调整结转和结余</w:t>
      </w:r>
      <w:r>
        <w:rPr>
          <w:rFonts w:ascii="仿宋_GB2312" w:eastAsia="仿宋_GB2312" w:cs="仿宋_GB2312" w:hint="eastAsia"/>
          <w:color w:val="auto"/>
          <w:sz w:val="28"/>
          <w:szCs w:val="28"/>
          <w:lang w:val="en-US" w:eastAsia="zh-CN"/>
        </w:rPr>
        <w:t>17.02</w:t>
      </w:r>
      <w:r>
        <w:rPr>
          <w:rFonts w:ascii="仿宋_GB2312" w:eastAsia="仿宋_GB2312" w:cs="仿宋_GB2312" w:hint="eastAsia"/>
          <w:color w:val="auto"/>
          <w:sz w:val="28"/>
          <w:szCs w:val="28"/>
        </w:rPr>
        <w:t>万元，合计</w:t>
      </w:r>
      <w:r>
        <w:rPr>
          <w:rFonts w:ascii="仿宋_GB2312" w:eastAsia="仿宋_GB2312" w:cs="仿宋_GB2312" w:hint="eastAsia"/>
          <w:color w:val="auto"/>
          <w:sz w:val="28"/>
          <w:szCs w:val="28"/>
          <w:lang w:val="en-US" w:eastAsia="zh-CN"/>
        </w:rPr>
        <w:t>188.51</w:t>
      </w:r>
      <w:r>
        <w:rPr>
          <w:rFonts w:ascii="仿宋_GB2312" w:eastAsia="仿宋_GB2312" w:cs="仿宋_GB2312" w:hint="eastAsia"/>
          <w:color w:val="auto"/>
          <w:sz w:val="28"/>
          <w:szCs w:val="28"/>
        </w:rPr>
        <w:t>万元。</w:t>
      </w:r>
    </w:p>
    <w:p>
      <w:pPr>
        <w:widowControl/>
        <w:numPr>
          <w:ilvl w:val="0"/>
          <w:numId w:val="6"/>
        </w:numPr>
        <w:adjustRightInd w:val="0"/>
        <w:snapToGrid w:val="0"/>
        <w:spacing w:line="576" w:lineRule="exact"/>
        <w:ind w:left="0"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部门财政资金支出情况</w:t>
      </w:r>
    </w:p>
    <w:p>
      <w:pPr>
        <w:pStyle w:val="15"/>
        <w:spacing w:line="576" w:lineRule="exact"/>
        <w:ind w:leftChars="0" w:left="0" w:rightChars="0" w:right="0" w:firstLineChars="200" w:firstLine="560"/>
        <w:rPr>
          <w:rFonts w:ascii="仿宋_GB2312" w:eastAsia="仿宋_GB2312" w:cs="仿宋_GB2312" w:hint="eastAsia"/>
          <w:color w:val="auto"/>
          <w:sz w:val="28"/>
          <w:szCs w:val="28"/>
          <w:shd w:val="clear" w:color="auto" w:fill="auto"/>
          <w:highlight w:val="auto"/>
        </w:rPr>
      </w:pPr>
      <w:r>
        <w:rPr>
          <w:rFonts w:ascii="仿宋_GB2312" w:eastAsia="仿宋_GB2312" w:cs="仿宋_GB2312" w:hint="eastAsia"/>
          <w:color w:val="auto"/>
          <w:sz w:val="28"/>
          <w:szCs w:val="28"/>
          <w:shd w:val="clear" w:color="auto" w:fill="auto"/>
          <w:lang w:eastAsia="zh-CN"/>
          <w:highlight w:val="auto"/>
        </w:rPr>
        <w:t>2020年</w:t>
      </w:r>
      <w:r>
        <w:rPr>
          <w:rFonts w:ascii="仿宋_GB2312" w:eastAsia="仿宋_GB2312" w:cs="仿宋_GB2312" w:hint="eastAsia"/>
          <w:color w:val="auto"/>
          <w:sz w:val="28"/>
          <w:szCs w:val="28"/>
          <w:shd w:val="clear" w:color="auto" w:fill="auto"/>
          <w:highlight w:val="auto"/>
        </w:rPr>
        <w:t>阿坝州汶川县信访局支出总额</w:t>
      </w:r>
      <w:r>
        <w:rPr>
          <w:rFonts w:ascii="仿宋_GB2312" w:eastAsia="仿宋_GB2312" w:cs="仿宋_GB2312" w:hint="eastAsia"/>
          <w:color w:val="auto"/>
          <w:sz w:val="28"/>
          <w:szCs w:val="28"/>
          <w:shd w:val="clear" w:color="auto" w:fill="auto"/>
          <w:lang w:val="en-US" w:eastAsia="zh-CN"/>
          <w:highlight w:val="auto"/>
        </w:rPr>
        <w:t>188.51</w:t>
      </w:r>
      <w:r>
        <w:rPr>
          <w:rFonts w:ascii="仿宋_GB2312" w:eastAsia="仿宋_GB2312" w:cs="仿宋_GB2312" w:hint="eastAsia"/>
          <w:color w:val="auto"/>
          <w:sz w:val="28"/>
          <w:szCs w:val="28"/>
          <w:shd w:val="clear" w:color="auto" w:fill="auto"/>
          <w:highlight w:val="auto"/>
        </w:rPr>
        <w:t>万元，其中：基本支出</w:t>
      </w:r>
      <w:r>
        <w:rPr>
          <w:rFonts w:ascii="仿宋_GB2312" w:eastAsia="仿宋_GB2312" w:cs="仿宋_GB2312" w:hint="eastAsia"/>
          <w:color w:val="auto"/>
          <w:sz w:val="28"/>
          <w:szCs w:val="28"/>
          <w:shd w:val="clear" w:color="auto" w:fill="auto"/>
          <w:lang w:val="en-US" w:eastAsia="zh-CN"/>
          <w:highlight w:val="auto"/>
        </w:rPr>
        <w:t>168.11</w:t>
      </w:r>
      <w:r>
        <w:rPr>
          <w:rFonts w:ascii="仿宋_GB2312" w:eastAsia="仿宋_GB2312" w:cs="仿宋_GB2312" w:hint="eastAsia"/>
          <w:color w:val="auto"/>
          <w:sz w:val="28"/>
          <w:szCs w:val="28"/>
          <w:shd w:val="clear" w:color="auto" w:fill="auto"/>
          <w:highlight w:val="auto"/>
        </w:rPr>
        <w:t>万元（一般公共服务支出</w:t>
      </w:r>
      <w:r>
        <w:rPr>
          <w:rFonts w:ascii="仿宋_GB2312" w:eastAsia="仿宋_GB2312" w:cs="仿宋_GB2312" w:hint="eastAsia"/>
          <w:color w:val="auto"/>
          <w:sz w:val="28"/>
          <w:szCs w:val="28"/>
          <w:shd w:val="clear" w:color="auto" w:fill="auto"/>
          <w:lang w:val="en-US" w:eastAsia="zh-CN"/>
          <w:highlight w:val="auto"/>
        </w:rPr>
        <w:t>139.5</w:t>
      </w:r>
      <w:r>
        <w:rPr>
          <w:rFonts w:ascii="仿宋_GB2312" w:eastAsia="仿宋_GB2312" w:cs="仿宋_GB2312" w:hint="eastAsia"/>
          <w:color w:val="auto"/>
          <w:sz w:val="28"/>
          <w:szCs w:val="28"/>
          <w:shd w:val="clear" w:color="auto" w:fill="auto"/>
          <w:highlight w:val="auto"/>
        </w:rPr>
        <w:t>4万元，社会保障和就业支出</w:t>
      </w:r>
      <w:r>
        <w:rPr>
          <w:rFonts w:ascii="仿宋_GB2312" w:eastAsia="仿宋_GB2312" w:cs="仿宋_GB2312" w:hint="eastAsia"/>
          <w:color w:val="auto"/>
          <w:sz w:val="28"/>
          <w:szCs w:val="28"/>
          <w:shd w:val="clear" w:color="auto" w:fill="auto"/>
          <w:lang w:val="en-US" w:eastAsia="zh-CN"/>
          <w:highlight w:val="auto"/>
        </w:rPr>
        <w:t>14.28</w:t>
      </w:r>
      <w:r>
        <w:rPr>
          <w:rFonts w:ascii="仿宋_GB2312" w:eastAsia="仿宋_GB2312" w:cs="仿宋_GB2312" w:hint="eastAsia"/>
          <w:color w:val="auto"/>
          <w:sz w:val="28"/>
          <w:szCs w:val="28"/>
          <w:shd w:val="clear" w:color="auto" w:fill="auto"/>
          <w:highlight w:val="auto"/>
        </w:rPr>
        <w:t>万元，卫生健康支出</w:t>
      </w:r>
      <w:r>
        <w:rPr>
          <w:rFonts w:ascii="仿宋_GB2312" w:eastAsia="仿宋_GB2312" w:cs="仿宋_GB2312" w:hint="eastAsia"/>
          <w:color w:val="auto"/>
          <w:sz w:val="28"/>
          <w:szCs w:val="28"/>
          <w:shd w:val="clear" w:color="auto" w:fill="auto"/>
          <w:lang w:val="en-US" w:eastAsia="zh-CN"/>
          <w:highlight w:val="auto"/>
        </w:rPr>
        <w:t>4.97</w:t>
      </w:r>
      <w:r>
        <w:rPr>
          <w:rFonts w:ascii="仿宋_GB2312" w:eastAsia="仿宋_GB2312" w:cs="仿宋_GB2312" w:hint="eastAsia"/>
          <w:color w:val="auto"/>
          <w:sz w:val="28"/>
          <w:szCs w:val="28"/>
          <w:shd w:val="clear" w:color="auto" w:fill="auto"/>
          <w:highlight w:val="auto"/>
        </w:rPr>
        <w:t>万元，住房保障支出</w:t>
      </w:r>
      <w:r>
        <w:rPr>
          <w:rFonts w:ascii="仿宋_GB2312" w:eastAsia="仿宋_GB2312" w:cs="仿宋_GB2312" w:hint="eastAsia"/>
          <w:color w:val="auto"/>
          <w:sz w:val="28"/>
          <w:szCs w:val="28"/>
          <w:shd w:val="clear" w:color="auto" w:fill="auto"/>
          <w:lang w:val="en-US" w:eastAsia="zh-CN"/>
          <w:highlight w:val="auto"/>
        </w:rPr>
        <w:t>9.33</w:t>
      </w:r>
      <w:r>
        <w:rPr>
          <w:rFonts w:ascii="仿宋_GB2312" w:eastAsia="仿宋_GB2312" w:cs="仿宋_GB2312" w:hint="eastAsia"/>
          <w:color w:val="auto"/>
          <w:sz w:val="28"/>
          <w:szCs w:val="28"/>
          <w:shd w:val="clear" w:color="auto" w:fill="auto"/>
          <w:highlight w:val="auto"/>
        </w:rPr>
        <w:t>万元</w:t>
      </w:r>
      <w:r>
        <w:rPr>
          <w:rFonts w:ascii="仿宋_GB2312" w:eastAsia="仿宋_GB2312" w:cs="仿宋_GB2312" w:hint="eastAsia"/>
          <w:color w:val="auto"/>
          <w:sz w:val="28"/>
          <w:szCs w:val="28"/>
          <w:shd w:val="clear" w:color="auto" w:fill="auto"/>
          <w:lang w:eastAsia="zh-CN"/>
          <w:highlight w:val="auto"/>
        </w:rPr>
        <w:t>，抗疫特别国债安排的支出</w:t>
      </w:r>
      <w:r>
        <w:rPr>
          <w:rFonts w:ascii="仿宋_GB2312" w:eastAsia="仿宋_GB2312" w:cs="仿宋_GB2312" w:hint="eastAsia"/>
          <w:color w:val="auto"/>
          <w:sz w:val="28"/>
          <w:szCs w:val="28"/>
          <w:shd w:val="clear" w:color="auto" w:fill="auto"/>
          <w:lang w:val="en-US" w:eastAsia="zh-CN"/>
          <w:highlight w:val="auto"/>
        </w:rPr>
        <w:t>0.46万元</w:t>
      </w:r>
      <w:r>
        <w:rPr>
          <w:rFonts w:ascii="仿宋_GB2312" w:eastAsia="仿宋_GB2312" w:cs="仿宋_GB2312" w:hint="eastAsia"/>
          <w:color w:val="auto"/>
          <w:sz w:val="28"/>
          <w:szCs w:val="28"/>
          <w:shd w:val="clear" w:color="auto" w:fill="auto"/>
          <w:highlight w:val="auto"/>
        </w:rPr>
        <w:t>），项目支出</w:t>
      </w:r>
      <w:r>
        <w:rPr>
          <w:rFonts w:ascii="仿宋_GB2312" w:eastAsia="仿宋_GB2312" w:cs="仿宋_GB2312" w:hint="eastAsia"/>
          <w:color w:val="auto"/>
          <w:sz w:val="28"/>
          <w:szCs w:val="28"/>
          <w:shd w:val="clear" w:color="auto" w:fill="auto"/>
          <w:lang w:val="en-US" w:eastAsia="zh-CN"/>
          <w:highlight w:val="auto"/>
        </w:rPr>
        <w:t>19.28</w:t>
      </w:r>
      <w:r>
        <w:rPr>
          <w:rFonts w:ascii="仿宋_GB2312" w:eastAsia="仿宋_GB2312" w:cs="仿宋_GB2312" w:hint="eastAsia"/>
          <w:color w:val="auto"/>
          <w:sz w:val="28"/>
          <w:szCs w:val="28"/>
          <w:shd w:val="clear" w:color="auto" w:fill="auto"/>
          <w:highlight w:val="auto"/>
        </w:rPr>
        <w:t>万元（信访稳控工作经费</w:t>
      </w:r>
      <w:r>
        <w:rPr>
          <w:rFonts w:ascii="仿宋_GB2312" w:eastAsia="仿宋_GB2312" w:cs="仿宋_GB2312" w:hint="eastAsia"/>
          <w:color w:val="auto"/>
          <w:sz w:val="28"/>
          <w:szCs w:val="28"/>
          <w:shd w:val="clear" w:color="auto" w:fill="auto"/>
          <w:lang w:val="en-US" w:eastAsia="zh-CN"/>
          <w:highlight w:val="auto"/>
        </w:rPr>
        <w:t>13.2</w:t>
      </w:r>
      <w:r>
        <w:rPr>
          <w:rFonts w:ascii="仿宋_GB2312" w:eastAsia="仿宋_GB2312" w:cs="仿宋_GB2312" w:hint="eastAsia"/>
          <w:color w:val="auto"/>
          <w:sz w:val="28"/>
          <w:szCs w:val="28"/>
          <w:shd w:val="clear" w:color="auto" w:fill="auto"/>
          <w:highlight w:val="auto"/>
        </w:rPr>
        <w:t>万元，民族团结工作经费0.</w:t>
      </w:r>
      <w:r>
        <w:rPr>
          <w:rFonts w:ascii="仿宋_GB2312" w:eastAsia="仿宋_GB2312" w:cs="仿宋_GB2312" w:hint="eastAsia"/>
          <w:color w:val="auto"/>
          <w:sz w:val="28"/>
          <w:szCs w:val="28"/>
          <w:shd w:val="clear" w:color="auto" w:fill="auto"/>
          <w:lang w:val="en-US" w:eastAsia="zh-CN"/>
          <w:highlight w:val="auto"/>
        </w:rPr>
        <w:t>60</w:t>
      </w:r>
      <w:r>
        <w:rPr>
          <w:rFonts w:ascii="仿宋_GB2312" w:eastAsia="仿宋_GB2312" w:cs="仿宋_GB2312" w:hint="eastAsia"/>
          <w:color w:val="auto"/>
          <w:sz w:val="28"/>
          <w:szCs w:val="28"/>
          <w:shd w:val="clear" w:color="auto" w:fill="auto"/>
          <w:highlight w:val="auto"/>
        </w:rPr>
        <w:t>万元，特殊疑难信访事项经费3.</w:t>
      </w:r>
      <w:r>
        <w:rPr>
          <w:rFonts w:ascii="仿宋_GB2312" w:eastAsia="仿宋_GB2312" w:cs="仿宋_GB2312" w:hint="eastAsia"/>
          <w:color w:val="auto"/>
          <w:sz w:val="28"/>
          <w:szCs w:val="28"/>
          <w:shd w:val="clear" w:color="auto" w:fill="auto"/>
          <w:lang w:val="en-US" w:eastAsia="zh-CN"/>
          <w:highlight w:val="auto"/>
        </w:rPr>
        <w:t>00</w:t>
      </w:r>
      <w:r>
        <w:rPr>
          <w:rFonts w:ascii="仿宋_GB2312" w:eastAsia="仿宋_GB2312" w:cs="仿宋_GB2312" w:hint="eastAsia"/>
          <w:color w:val="auto"/>
          <w:sz w:val="28"/>
          <w:szCs w:val="28"/>
          <w:shd w:val="clear" w:color="auto" w:fill="auto"/>
          <w:highlight w:val="auto"/>
        </w:rPr>
        <w:t>万元）。年末结转和结余</w:t>
      </w:r>
      <w:r>
        <w:rPr>
          <w:rFonts w:ascii="仿宋_GB2312" w:eastAsia="仿宋_GB2312" w:cs="仿宋_GB2312" w:hint="eastAsia"/>
          <w:color w:val="auto"/>
          <w:sz w:val="28"/>
          <w:szCs w:val="28"/>
          <w:shd w:val="clear" w:color="auto" w:fill="auto"/>
          <w:lang w:val="en-US" w:eastAsia="zh-CN"/>
          <w:highlight w:val="auto"/>
        </w:rPr>
        <w:t>1.11</w:t>
      </w:r>
      <w:r>
        <w:rPr>
          <w:rFonts w:ascii="仿宋_GB2312" w:eastAsia="仿宋_GB2312" w:cs="仿宋_GB2312" w:hint="eastAsia"/>
          <w:color w:val="auto"/>
          <w:sz w:val="28"/>
          <w:szCs w:val="28"/>
          <w:shd w:val="clear" w:color="auto" w:fill="auto"/>
          <w:highlight w:val="auto"/>
        </w:rPr>
        <w:t>万元。阿坝州汶川县信访局预算安排支出主要用于保障部门机构正常运转、完成日常工作任务。</w:t>
      </w:r>
    </w:p>
    <w:p>
      <w:pPr>
        <w:widowControl/>
        <w:adjustRightInd w:val="0"/>
        <w:snapToGrid w:val="0"/>
        <w:spacing w:line="576" w:lineRule="exact"/>
        <w:ind w:firstLine="720"/>
        <w:rPr>
          <w:rFonts w:ascii="仿宋_GB2312" w:eastAsia="仿宋_GB2312" w:cs="仿宋_GB2312" w:hint="eastAsia"/>
          <w:color w:val="auto"/>
          <w:kern w:val="0"/>
          <w:sz w:val="28"/>
          <w:szCs w:val="28"/>
          <w:shd w:val="clear" w:color="auto" w:fill="auto"/>
          <w:highlight w:val="auto"/>
        </w:rPr>
      </w:pPr>
      <w:r>
        <w:rPr>
          <w:rFonts w:ascii="仿宋_GB2312" w:eastAsia="仿宋_GB2312" w:cs="仿宋_GB2312" w:hint="eastAsia"/>
          <w:color w:val="auto"/>
          <w:kern w:val="0"/>
          <w:sz w:val="28"/>
          <w:szCs w:val="28"/>
          <w:shd w:val="clear" w:color="auto" w:fill="auto"/>
          <w:highlight w:val="auto"/>
        </w:rPr>
        <w:t>三、部门财政支出管理情况</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（一）预算编制情况</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根据全县部门预算编制口径和要求，确保我局正常运行，完成日常工作任务以及承担我单位事业发展相关工作，编制2020年预算。基本支出，是用于保障</w:t>
      </w:r>
      <w:r>
        <w:rPr>
          <w:rFonts w:ascii="仿宋_GB2312" w:eastAsia="仿宋_GB2312" w:cs="仿宋_GB2312" w:hint="eastAsia"/>
          <w:color w:val="auto"/>
          <w:kern w:val="0"/>
          <w:sz w:val="28"/>
          <w:szCs w:val="28"/>
        </w:rPr>
        <w:t>我局</w:t>
      </w:r>
      <w:r>
        <w:rPr>
          <w:rFonts w:ascii="仿宋_GB2312" w:eastAsia="仿宋_GB2312" w:cs="仿宋_GB2312" w:hint="eastAsia"/>
          <w:color w:val="auto"/>
          <w:kern w:val="0"/>
          <w:sz w:val="28"/>
          <w:szCs w:val="28"/>
          <w:lang w:val="zh-CN"/>
        </w:rPr>
        <w:t>正常运转的日常支出，包括基本工资、津贴补贴、社会保障和就业、医疗卫生、住房保障等人员经费以及办公费、印刷费、水电费、办公设备购置等日常公用经费。项目支出，是用于保障完成</w:t>
      </w:r>
      <w:r>
        <w:rPr>
          <w:rFonts w:ascii="仿宋_GB2312" w:eastAsia="仿宋_GB2312" w:cs="仿宋_GB2312" w:hint="eastAsia"/>
          <w:color w:val="auto"/>
          <w:sz w:val="28"/>
          <w:szCs w:val="28"/>
        </w:rPr>
        <w:t>排查交办矛盾纠纷、处理信访问题和信访积案</w:t>
      </w:r>
      <w:r>
        <w:rPr>
          <w:rFonts w:ascii="仿宋_GB2312" w:eastAsia="仿宋_GB2312" w:cs="仿宋_GB2312" w:hint="eastAsia"/>
          <w:color w:val="auto"/>
          <w:kern w:val="0"/>
          <w:sz w:val="28"/>
          <w:szCs w:val="28"/>
          <w:lang w:val="zh-CN"/>
        </w:rPr>
        <w:t>，属于专项业务工作的经费支出。</w:t>
      </w:r>
    </w:p>
    <w:p>
      <w:pPr>
        <w:widowControl/>
        <w:adjustRightInd w:val="0"/>
        <w:snapToGrid w:val="0"/>
        <w:spacing w:line="576" w:lineRule="exact"/>
        <w:ind w:firstLine="720"/>
        <w:rPr>
          <w:rFonts w:ascii="仿宋_GB2312" w:eastAsia="仿宋_GB2312" w:cs="仿宋_GB2312" w:hint="eastAsia"/>
          <w:color w:val="auto"/>
          <w:sz w:val="28"/>
          <w:szCs w:val="28"/>
          <w:lang w:val="zh-CN"/>
        </w:rPr>
      </w:pPr>
      <w:r>
        <w:rPr>
          <w:rFonts w:ascii="仿宋_GB2312" w:eastAsia="仿宋_GB2312" w:cs="仿宋_GB2312" w:hint="eastAsia"/>
          <w:color w:val="auto"/>
          <w:sz w:val="28"/>
          <w:szCs w:val="28"/>
          <w:lang w:val="zh-CN"/>
        </w:rPr>
        <w:t>汶川县信访局2020年年初收入预算数为</w:t>
      </w:r>
      <w:r>
        <w:rPr>
          <w:rFonts w:ascii="仿宋_GB2312" w:eastAsia="仿宋_GB2312" w:cs="仿宋_GB2312" w:hint="eastAsia"/>
          <w:color w:val="auto"/>
          <w:sz w:val="28"/>
          <w:szCs w:val="28"/>
          <w:lang w:val="en-US" w:eastAsia="zh-CN"/>
        </w:rPr>
        <w:t>136.53</w:t>
      </w:r>
      <w:r>
        <w:rPr>
          <w:rFonts w:ascii="仿宋_GB2312" w:eastAsia="仿宋_GB2312" w:cs="仿宋_GB2312" w:hint="eastAsia"/>
          <w:color w:val="auto"/>
          <w:sz w:val="28"/>
          <w:szCs w:val="28"/>
          <w:lang w:val="zh-CN"/>
        </w:rPr>
        <w:t>万元，上年结转</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lang w:val="zh-CN"/>
        </w:rPr>
        <w:t>万元，支出预算合计</w:t>
      </w:r>
      <w:r>
        <w:rPr>
          <w:rFonts w:ascii="仿宋_GB2312" w:eastAsia="仿宋_GB2312" w:cs="仿宋_GB2312" w:hint="eastAsia"/>
          <w:color w:val="auto"/>
          <w:sz w:val="28"/>
          <w:szCs w:val="28"/>
          <w:lang w:val="en-US" w:eastAsia="zh-CN"/>
        </w:rPr>
        <w:t>136.53</w:t>
      </w:r>
      <w:r>
        <w:rPr>
          <w:rFonts w:ascii="仿宋_GB2312" w:eastAsia="仿宋_GB2312" w:cs="仿宋_GB2312" w:hint="eastAsia"/>
          <w:color w:val="auto"/>
          <w:sz w:val="28"/>
          <w:szCs w:val="28"/>
          <w:lang w:val="zh-CN"/>
        </w:rPr>
        <w:t>万元，其</w:t>
      </w:r>
      <w:bookmarkStart w:id="78" w:name="_GoBack"/>
      <w:bookmarkEnd w:id="78"/>
      <w:r>
        <w:rPr>
          <w:rFonts w:ascii="仿宋_GB2312" w:eastAsia="仿宋_GB2312" w:cs="仿宋_GB2312" w:hint="eastAsia"/>
          <w:color w:val="auto"/>
          <w:sz w:val="28"/>
          <w:szCs w:val="28"/>
          <w:lang w:val="zh-CN"/>
        </w:rPr>
        <w:t>中：基本支出预算</w:t>
      </w:r>
      <w:r>
        <w:rPr>
          <w:rFonts w:ascii="仿宋_GB2312" w:eastAsia="仿宋_GB2312" w:cs="仿宋_GB2312" w:hint="eastAsia"/>
          <w:color w:val="auto"/>
          <w:sz w:val="28"/>
          <w:szCs w:val="28"/>
          <w:lang w:val="en-US" w:eastAsia="zh-CN"/>
        </w:rPr>
        <w:t>97.91</w:t>
      </w:r>
      <w:r>
        <w:rPr>
          <w:rFonts w:ascii="仿宋_GB2312" w:eastAsia="仿宋_GB2312" w:cs="仿宋_GB2312" w:hint="eastAsia"/>
          <w:color w:val="auto"/>
          <w:sz w:val="28"/>
          <w:szCs w:val="28"/>
          <w:lang w:val="zh-CN"/>
        </w:rPr>
        <w:t>万元（人员经费</w:t>
      </w:r>
      <w:r>
        <w:rPr>
          <w:rFonts w:ascii="仿宋_GB2312" w:eastAsia="仿宋_GB2312" w:cs="仿宋_GB2312" w:hint="eastAsia"/>
          <w:color w:val="auto"/>
          <w:sz w:val="28"/>
          <w:szCs w:val="28"/>
          <w:lang w:val="en-US" w:eastAsia="zh-CN"/>
        </w:rPr>
        <w:t>85.16</w:t>
      </w:r>
      <w:r>
        <w:rPr>
          <w:rFonts w:ascii="仿宋_GB2312" w:eastAsia="仿宋_GB2312" w:cs="仿宋_GB2312" w:hint="eastAsia"/>
          <w:color w:val="auto"/>
          <w:sz w:val="28"/>
          <w:szCs w:val="28"/>
          <w:lang w:val="zh-CN"/>
        </w:rPr>
        <w:t>万元，公用经费</w:t>
      </w:r>
      <w:r>
        <w:rPr>
          <w:rFonts w:ascii="仿宋_GB2312" w:eastAsia="仿宋_GB2312" w:cs="仿宋_GB2312" w:hint="eastAsia"/>
          <w:color w:val="auto"/>
          <w:sz w:val="28"/>
          <w:szCs w:val="28"/>
          <w:lang w:val="en-US" w:eastAsia="zh-CN"/>
        </w:rPr>
        <w:t>12.76</w:t>
      </w:r>
      <w:r>
        <w:rPr>
          <w:rFonts w:ascii="仿宋_GB2312" w:eastAsia="仿宋_GB2312" w:cs="仿宋_GB2312" w:hint="eastAsia"/>
          <w:color w:val="auto"/>
          <w:sz w:val="28"/>
          <w:szCs w:val="28"/>
          <w:lang w:val="zh-CN"/>
        </w:rPr>
        <w:t>万元）；项目支出预算</w:t>
      </w:r>
      <w:r>
        <w:rPr>
          <w:rFonts w:ascii="仿宋_GB2312" w:eastAsia="仿宋_GB2312" w:cs="仿宋_GB2312" w:hint="eastAsia"/>
          <w:color w:val="auto"/>
          <w:sz w:val="28"/>
          <w:szCs w:val="28"/>
          <w:lang w:val="en-US" w:eastAsia="zh-CN"/>
        </w:rPr>
        <w:t>38.62</w:t>
      </w:r>
      <w:r>
        <w:rPr>
          <w:rFonts w:ascii="仿宋_GB2312" w:eastAsia="仿宋_GB2312" w:cs="仿宋_GB2312" w:hint="eastAsia"/>
          <w:color w:val="auto"/>
          <w:sz w:val="28"/>
          <w:szCs w:val="28"/>
          <w:lang w:val="zh-CN"/>
        </w:rPr>
        <w:t>万元。按支出功能分类包括：一般公共服务支出</w:t>
      </w:r>
      <w:r>
        <w:rPr>
          <w:rFonts w:ascii="仿宋_GB2312" w:eastAsia="仿宋_GB2312" w:cs="仿宋_GB2312" w:hint="eastAsia"/>
          <w:color w:val="auto"/>
          <w:sz w:val="28"/>
          <w:szCs w:val="28"/>
          <w:lang w:val="en-US" w:eastAsia="zh-CN"/>
        </w:rPr>
        <w:t>107.74</w:t>
      </w:r>
      <w:r>
        <w:rPr>
          <w:rFonts w:ascii="仿宋_GB2312" w:eastAsia="仿宋_GB2312" w:cs="仿宋_GB2312" w:hint="eastAsia"/>
          <w:color w:val="auto"/>
          <w:sz w:val="28"/>
          <w:szCs w:val="28"/>
          <w:lang w:val="zh-CN"/>
        </w:rPr>
        <w:t>万元，社会保障和就业支出</w:t>
      </w:r>
      <w:r>
        <w:rPr>
          <w:rFonts w:ascii="仿宋_GB2312" w:eastAsia="仿宋_GB2312" w:cs="仿宋_GB2312" w:hint="eastAsia"/>
          <w:color w:val="auto"/>
          <w:sz w:val="28"/>
          <w:szCs w:val="28"/>
          <w:lang w:val="en-US" w:eastAsia="zh-CN"/>
        </w:rPr>
        <w:t>14.52</w:t>
      </w:r>
      <w:r>
        <w:rPr>
          <w:rFonts w:ascii="仿宋_GB2312" w:eastAsia="仿宋_GB2312" w:cs="仿宋_GB2312" w:hint="eastAsia"/>
          <w:color w:val="auto"/>
          <w:sz w:val="28"/>
          <w:szCs w:val="28"/>
          <w:lang w:val="zh-CN"/>
        </w:rPr>
        <w:t>万元，医疗卫生与计划生育支出</w:t>
      </w:r>
      <w:r>
        <w:rPr>
          <w:rFonts w:ascii="仿宋_GB2312" w:eastAsia="仿宋_GB2312" w:cs="仿宋_GB2312" w:hint="eastAsia"/>
          <w:color w:val="auto"/>
          <w:sz w:val="28"/>
          <w:szCs w:val="28"/>
          <w:lang w:val="en-US" w:eastAsia="zh-CN"/>
        </w:rPr>
        <w:t>4.97</w:t>
      </w:r>
      <w:r>
        <w:rPr>
          <w:rFonts w:ascii="仿宋_GB2312" w:eastAsia="仿宋_GB2312" w:cs="仿宋_GB2312" w:hint="eastAsia"/>
          <w:color w:val="auto"/>
          <w:sz w:val="28"/>
          <w:szCs w:val="28"/>
          <w:lang w:val="zh-CN"/>
        </w:rPr>
        <w:t>万元，住房保障支出</w:t>
      </w:r>
      <w:r>
        <w:rPr>
          <w:rFonts w:ascii="仿宋_GB2312" w:eastAsia="仿宋_GB2312" w:cs="仿宋_GB2312" w:hint="eastAsia"/>
          <w:color w:val="auto"/>
          <w:sz w:val="28"/>
          <w:szCs w:val="28"/>
          <w:lang w:val="en-US" w:eastAsia="zh-CN"/>
        </w:rPr>
        <w:t>9.30</w:t>
      </w:r>
      <w:r>
        <w:rPr>
          <w:rFonts w:ascii="仿宋_GB2312" w:eastAsia="仿宋_GB2312" w:cs="仿宋_GB2312" w:hint="eastAsia"/>
          <w:color w:val="auto"/>
          <w:sz w:val="28"/>
          <w:szCs w:val="28"/>
          <w:lang w:val="zh-CN"/>
        </w:rPr>
        <w:t>万元。2020年财政收支总预算</w:t>
      </w:r>
      <w:r>
        <w:rPr>
          <w:rFonts w:ascii="仿宋_GB2312" w:eastAsia="仿宋_GB2312" w:cs="仿宋_GB2312" w:hint="eastAsia"/>
          <w:color w:val="auto"/>
          <w:sz w:val="28"/>
          <w:szCs w:val="28"/>
          <w:lang w:val="en-US" w:eastAsia="zh-CN"/>
        </w:rPr>
        <w:t>171.49</w:t>
      </w:r>
      <w:r>
        <w:rPr>
          <w:rFonts w:ascii="仿宋_GB2312" w:eastAsia="仿宋_GB2312" w:cs="仿宋_GB2312" w:hint="eastAsia"/>
          <w:color w:val="auto"/>
          <w:sz w:val="28"/>
          <w:szCs w:val="28"/>
          <w:lang w:val="zh-CN"/>
        </w:rPr>
        <w:t>万元，其中：基本支出预算</w:t>
      </w:r>
      <w:r>
        <w:rPr>
          <w:rFonts w:ascii="仿宋_GB2312" w:eastAsia="仿宋_GB2312" w:cs="仿宋_GB2312" w:hint="eastAsia"/>
          <w:color w:val="auto"/>
          <w:sz w:val="28"/>
          <w:szCs w:val="28"/>
          <w:lang w:val="en-US" w:eastAsia="zh-CN"/>
        </w:rPr>
        <w:t>97.91</w:t>
      </w:r>
      <w:r>
        <w:rPr>
          <w:rFonts w:ascii="仿宋_GB2312" w:eastAsia="仿宋_GB2312" w:cs="仿宋_GB2312" w:hint="eastAsia"/>
          <w:color w:val="auto"/>
          <w:sz w:val="28"/>
          <w:szCs w:val="28"/>
          <w:lang w:val="zh-CN"/>
        </w:rPr>
        <w:t>万元（人员经费</w:t>
      </w:r>
      <w:r>
        <w:rPr>
          <w:rFonts w:ascii="仿宋_GB2312" w:eastAsia="仿宋_GB2312" w:cs="仿宋_GB2312" w:hint="eastAsia"/>
          <w:color w:val="auto"/>
          <w:sz w:val="28"/>
          <w:szCs w:val="28"/>
          <w:lang w:val="en-US" w:eastAsia="zh-CN"/>
        </w:rPr>
        <w:t>85.16</w:t>
      </w:r>
      <w:r>
        <w:rPr>
          <w:rFonts w:ascii="仿宋_GB2312" w:eastAsia="仿宋_GB2312" w:cs="仿宋_GB2312" w:hint="eastAsia"/>
          <w:color w:val="auto"/>
          <w:sz w:val="28"/>
          <w:szCs w:val="28"/>
          <w:lang w:val="zh-CN"/>
        </w:rPr>
        <w:t>万元，公用经费</w:t>
      </w:r>
      <w:r>
        <w:rPr>
          <w:rFonts w:ascii="仿宋_GB2312" w:eastAsia="仿宋_GB2312" w:cs="仿宋_GB2312" w:hint="eastAsia"/>
          <w:color w:val="auto"/>
          <w:sz w:val="28"/>
          <w:szCs w:val="28"/>
          <w:lang w:val="en-US" w:eastAsia="zh-CN"/>
        </w:rPr>
        <w:t>12.76</w:t>
      </w:r>
      <w:r>
        <w:rPr>
          <w:rFonts w:ascii="仿宋_GB2312" w:eastAsia="仿宋_GB2312" w:cs="仿宋_GB2312" w:hint="eastAsia"/>
          <w:color w:val="auto"/>
          <w:sz w:val="28"/>
          <w:szCs w:val="28"/>
          <w:lang w:val="zh-CN"/>
        </w:rPr>
        <w:t>万元），项目支出预算</w:t>
      </w:r>
      <w:r>
        <w:rPr>
          <w:rFonts w:ascii="仿宋_GB2312" w:eastAsia="仿宋_GB2312" w:cs="仿宋_GB2312" w:hint="eastAsia"/>
          <w:color w:val="auto"/>
          <w:sz w:val="28"/>
          <w:szCs w:val="28"/>
          <w:lang w:val="en-US" w:eastAsia="zh-CN"/>
        </w:rPr>
        <w:t>38.62</w:t>
      </w:r>
      <w:r>
        <w:rPr>
          <w:rFonts w:ascii="仿宋_GB2312" w:eastAsia="仿宋_GB2312" w:cs="仿宋_GB2312" w:hint="eastAsia"/>
          <w:color w:val="auto"/>
          <w:sz w:val="28"/>
          <w:szCs w:val="28"/>
          <w:lang w:val="zh-CN"/>
        </w:rPr>
        <w:t>万元。2020年比</w:t>
      </w:r>
      <w:r>
        <w:rPr>
          <w:rFonts w:ascii="仿宋_GB2312" w:eastAsia="仿宋_GB2312" w:cs="仿宋_GB2312" w:hint="eastAsia"/>
          <w:color w:val="auto"/>
          <w:sz w:val="28"/>
          <w:szCs w:val="28"/>
          <w:lang w:val="en-US" w:eastAsia="zh-CN"/>
        </w:rPr>
        <w:t>2019年</w:t>
      </w:r>
      <w:r>
        <w:rPr>
          <w:rFonts w:ascii="仿宋_GB2312" w:eastAsia="仿宋_GB2312" w:cs="仿宋_GB2312" w:hint="eastAsia"/>
          <w:color w:val="auto"/>
          <w:sz w:val="28"/>
          <w:szCs w:val="28"/>
          <w:lang w:val="zh-CN"/>
        </w:rPr>
        <w:t>收支预算总数减少</w:t>
      </w:r>
      <w:r>
        <w:rPr>
          <w:rFonts w:ascii="仿宋_GB2312" w:eastAsia="仿宋_GB2312" w:cs="仿宋_GB2312" w:hint="eastAsia"/>
          <w:color w:val="auto"/>
          <w:sz w:val="28"/>
          <w:szCs w:val="28"/>
          <w:lang w:val="en-US" w:eastAsia="zh-CN"/>
        </w:rPr>
        <w:t>18</w:t>
      </w:r>
      <w:r>
        <w:rPr>
          <w:rFonts w:ascii="仿宋_GB2312" w:eastAsia="仿宋_GB2312" w:cs="仿宋_GB2312" w:hint="eastAsia"/>
          <w:color w:val="auto"/>
          <w:sz w:val="28"/>
          <w:szCs w:val="28"/>
          <w:lang w:val="zh-CN"/>
        </w:rPr>
        <w:t>.</w:t>
      </w:r>
      <w:r>
        <w:rPr>
          <w:rFonts w:ascii="仿宋_GB2312" w:eastAsia="仿宋_GB2312" w:cs="仿宋_GB2312" w:hint="eastAsia"/>
          <w:color w:val="auto"/>
          <w:sz w:val="28"/>
          <w:szCs w:val="28"/>
          <w:lang w:val="en-US" w:eastAsia="zh-CN"/>
        </w:rPr>
        <w:t>99</w:t>
      </w:r>
      <w:r>
        <w:rPr>
          <w:rFonts w:ascii="仿宋_GB2312" w:eastAsia="仿宋_GB2312" w:cs="仿宋_GB2312" w:hint="eastAsia"/>
          <w:color w:val="auto"/>
          <w:sz w:val="28"/>
          <w:szCs w:val="28"/>
          <w:lang w:val="zh-CN"/>
        </w:rPr>
        <w:t>万元，主要原因为：一是实行</w:t>
      </w:r>
      <w:r>
        <w:rPr>
          <w:rFonts w:ascii="仿宋_GB2312" w:eastAsia="仿宋_GB2312" w:cs="仿宋_GB2312"/>
          <w:color w:val="auto"/>
          <w:sz w:val="28"/>
          <w:szCs w:val="28"/>
          <w:lang w:val="zh-CN"/>
        </w:rPr>
        <w:t>厉行</w:t>
      </w:r>
      <w:r>
        <w:rPr>
          <w:rFonts w:ascii="仿宋_GB2312" w:eastAsia="仿宋_GB2312" w:cs="仿宋_GB2312" w:hint="eastAsia"/>
          <w:color w:val="auto"/>
          <w:sz w:val="28"/>
          <w:szCs w:val="28"/>
          <w:lang w:val="zh-CN"/>
        </w:rPr>
        <w:t>节约减少信访局运行工作经费；二是因工作调动人员减少。</w:t>
      </w:r>
    </w:p>
    <w:p>
      <w:pPr>
        <w:widowControl/>
        <w:adjustRightInd w:val="0"/>
        <w:snapToGrid w:val="0"/>
        <w:spacing w:line="576" w:lineRule="exact"/>
        <w:ind w:firstLine="720"/>
        <w:rPr>
          <w:rFonts w:ascii="仿宋_GB2312" w:eastAsia="仿宋_GB2312" w:cs="仿宋_GB2312" w:hint="eastAsia"/>
          <w:color w:val="auto"/>
          <w:sz w:val="28"/>
          <w:szCs w:val="28"/>
          <w:lang w:val="zh-CN"/>
        </w:rPr>
      </w:pPr>
      <w:r>
        <w:rPr>
          <w:rFonts w:ascii="仿宋_GB2312" w:eastAsia="仿宋_GB2312" w:cs="仿宋_GB2312" w:hint="eastAsia"/>
          <w:color w:val="auto"/>
          <w:sz w:val="28"/>
          <w:szCs w:val="28"/>
          <w:lang w:val="zh-CN"/>
        </w:rPr>
        <w:t>2020年预算调整数为</w:t>
      </w:r>
      <w:r>
        <w:rPr>
          <w:rFonts w:ascii="仿宋_GB2312" w:eastAsia="仿宋_GB2312" w:cs="仿宋_GB2312" w:hint="eastAsia"/>
          <w:color w:val="auto"/>
          <w:sz w:val="28"/>
          <w:szCs w:val="28"/>
          <w:lang w:val="en-US" w:eastAsia="zh-CN"/>
        </w:rPr>
        <w:t>188.51</w:t>
      </w:r>
      <w:r>
        <w:rPr>
          <w:rFonts w:ascii="仿宋_GB2312" w:eastAsia="仿宋_GB2312" w:cs="仿宋_GB2312" w:hint="eastAsia"/>
          <w:color w:val="auto"/>
          <w:sz w:val="28"/>
          <w:szCs w:val="28"/>
          <w:lang w:val="zh-CN"/>
        </w:rPr>
        <w:t>万元（含调整年初结转和结余</w:t>
      </w:r>
      <w:r>
        <w:rPr>
          <w:rFonts w:ascii="仿宋_GB2312" w:eastAsia="仿宋_GB2312" w:cs="仿宋_GB2312" w:hint="eastAsia"/>
          <w:color w:val="auto"/>
          <w:sz w:val="28"/>
          <w:szCs w:val="28"/>
          <w:lang w:val="en-US" w:eastAsia="zh-CN"/>
        </w:rPr>
        <w:t>17.02</w:t>
      </w:r>
      <w:r>
        <w:rPr>
          <w:rFonts w:ascii="仿宋_GB2312" w:eastAsia="仿宋_GB2312" w:cs="仿宋_GB2312" w:hint="eastAsia"/>
          <w:color w:val="auto"/>
          <w:sz w:val="28"/>
          <w:szCs w:val="28"/>
          <w:lang w:val="zh-CN"/>
        </w:rPr>
        <w:t>万元），其中：基本支出</w:t>
      </w:r>
      <w:r>
        <w:rPr>
          <w:rFonts w:ascii="仿宋_GB2312" w:eastAsia="仿宋_GB2312" w:cs="仿宋_GB2312" w:hint="eastAsia"/>
          <w:color w:val="auto"/>
          <w:sz w:val="28"/>
          <w:szCs w:val="28"/>
          <w:lang w:val="en-US" w:eastAsia="zh-CN"/>
        </w:rPr>
        <w:t>168.11</w:t>
      </w:r>
      <w:r>
        <w:rPr>
          <w:rFonts w:ascii="仿宋_GB2312" w:eastAsia="仿宋_GB2312" w:cs="仿宋_GB2312" w:hint="eastAsia"/>
          <w:color w:val="auto"/>
          <w:sz w:val="28"/>
          <w:szCs w:val="28"/>
          <w:lang w:val="zh-CN"/>
        </w:rPr>
        <w:t>万元（其中：人员经费</w:t>
      </w:r>
      <w:r>
        <w:rPr>
          <w:rFonts w:ascii="仿宋_GB2312" w:eastAsia="仿宋_GB2312" w:cs="仿宋_GB2312" w:hint="eastAsia"/>
          <w:color w:val="auto"/>
          <w:sz w:val="28"/>
          <w:szCs w:val="28"/>
          <w:lang w:val="en-US" w:eastAsia="zh-CN"/>
        </w:rPr>
        <w:t>116.74</w:t>
      </w:r>
      <w:r>
        <w:rPr>
          <w:rFonts w:ascii="仿宋_GB2312" w:eastAsia="仿宋_GB2312" w:cs="仿宋_GB2312" w:hint="eastAsia"/>
          <w:color w:val="auto"/>
          <w:sz w:val="28"/>
          <w:szCs w:val="28"/>
          <w:lang w:val="zh-CN"/>
        </w:rPr>
        <w:t>万元，公用经费</w:t>
      </w:r>
      <w:r>
        <w:rPr>
          <w:rFonts w:ascii="仿宋_GB2312" w:eastAsia="仿宋_GB2312" w:cs="仿宋_GB2312" w:hint="eastAsia"/>
          <w:color w:val="auto"/>
          <w:sz w:val="28"/>
          <w:szCs w:val="28"/>
          <w:lang w:val="en-US" w:eastAsia="zh-CN"/>
        </w:rPr>
        <w:t>51.37</w:t>
      </w:r>
      <w:r>
        <w:rPr>
          <w:rFonts w:ascii="仿宋_GB2312" w:eastAsia="仿宋_GB2312" w:cs="仿宋_GB2312" w:hint="eastAsia"/>
          <w:color w:val="auto"/>
          <w:sz w:val="28"/>
          <w:szCs w:val="28"/>
          <w:lang w:val="zh-CN"/>
        </w:rPr>
        <w:t>万元），项目支出</w:t>
      </w:r>
      <w:r>
        <w:rPr>
          <w:rFonts w:ascii="仿宋_GB2312" w:eastAsia="仿宋_GB2312" w:cs="仿宋_GB2312" w:hint="eastAsia"/>
          <w:color w:val="auto"/>
          <w:sz w:val="28"/>
          <w:szCs w:val="28"/>
          <w:lang w:val="en-US" w:eastAsia="zh-CN"/>
        </w:rPr>
        <w:t>19.28</w:t>
      </w:r>
      <w:r>
        <w:rPr>
          <w:rFonts w:ascii="仿宋_GB2312" w:eastAsia="仿宋_GB2312" w:cs="仿宋_GB2312" w:hint="eastAsia"/>
          <w:color w:val="auto"/>
          <w:sz w:val="28"/>
          <w:szCs w:val="28"/>
          <w:lang w:val="zh-CN"/>
        </w:rPr>
        <w:t>万元（信访稳控工作经费</w:t>
      </w:r>
      <w:r>
        <w:rPr>
          <w:rFonts w:ascii="仿宋_GB2312" w:eastAsia="仿宋_GB2312" w:cs="仿宋_GB2312" w:hint="eastAsia"/>
          <w:color w:val="auto"/>
          <w:sz w:val="28"/>
          <w:szCs w:val="28"/>
          <w:lang w:val="en-US" w:eastAsia="zh-CN"/>
        </w:rPr>
        <w:t>15.08</w:t>
      </w:r>
      <w:r>
        <w:rPr>
          <w:rFonts w:ascii="仿宋_GB2312" w:eastAsia="仿宋_GB2312" w:cs="仿宋_GB2312" w:hint="eastAsia"/>
          <w:color w:val="auto"/>
          <w:sz w:val="28"/>
          <w:szCs w:val="28"/>
          <w:lang w:val="zh-CN"/>
        </w:rPr>
        <w:t>万元，民族团结工作经费</w:t>
      </w:r>
      <w:r>
        <w:rPr>
          <w:rFonts w:ascii="仿宋_GB2312" w:eastAsia="仿宋_GB2312" w:cs="仿宋_GB2312" w:hint="eastAsia"/>
          <w:color w:val="auto"/>
          <w:sz w:val="28"/>
          <w:szCs w:val="28"/>
          <w:lang w:val="en-US" w:eastAsia="zh-CN"/>
        </w:rPr>
        <w:t>0.57</w:t>
      </w:r>
      <w:r>
        <w:rPr>
          <w:rFonts w:ascii="仿宋_GB2312" w:eastAsia="仿宋_GB2312" w:cs="仿宋_GB2312" w:hint="eastAsia"/>
          <w:color w:val="auto"/>
          <w:sz w:val="28"/>
          <w:szCs w:val="28"/>
          <w:lang w:val="zh-CN"/>
        </w:rPr>
        <w:t>万元，特殊疑难信访事项经费</w:t>
      </w:r>
      <w:r>
        <w:rPr>
          <w:rFonts w:ascii="仿宋_GB2312" w:eastAsia="仿宋_GB2312" w:cs="仿宋_GB2312" w:hint="eastAsia"/>
          <w:color w:val="auto"/>
          <w:sz w:val="28"/>
          <w:szCs w:val="28"/>
          <w:lang w:val="en-US" w:eastAsia="zh-CN"/>
        </w:rPr>
        <w:t>3</w:t>
      </w:r>
      <w:r>
        <w:rPr>
          <w:rFonts w:ascii="仿宋_GB2312" w:eastAsia="仿宋_GB2312" w:cs="仿宋_GB2312" w:hint="eastAsia"/>
          <w:color w:val="auto"/>
          <w:sz w:val="28"/>
          <w:szCs w:val="28"/>
          <w:lang w:val="zh-CN"/>
        </w:rPr>
        <w:t>万元，其他卫生健康支出</w:t>
      </w:r>
      <w:r>
        <w:rPr>
          <w:rFonts w:ascii="仿宋_GB2312" w:eastAsia="仿宋_GB2312" w:cs="仿宋_GB2312" w:hint="eastAsia"/>
          <w:color w:val="auto"/>
          <w:sz w:val="28"/>
          <w:szCs w:val="28"/>
          <w:lang w:val="en-US" w:eastAsia="zh-CN"/>
        </w:rPr>
        <w:t>0.18万元，</w:t>
      </w:r>
      <w:r>
        <w:rPr>
          <w:rFonts w:ascii="仿宋_GB2312" w:eastAsia="仿宋_GB2312" w:cs="仿宋_GB2312" w:hint="eastAsia"/>
          <w:color w:val="auto"/>
          <w:sz w:val="28"/>
          <w:szCs w:val="28"/>
          <w:lang w:val="zh-CN"/>
        </w:rPr>
        <w:t>抗疫特别国债安排的支出</w:t>
      </w:r>
      <w:r>
        <w:rPr>
          <w:rFonts w:ascii="仿宋_GB2312" w:eastAsia="仿宋_GB2312" w:cs="仿宋_GB2312" w:hint="eastAsia"/>
          <w:color w:val="auto"/>
          <w:sz w:val="28"/>
          <w:szCs w:val="28"/>
          <w:lang w:val="en-US" w:eastAsia="zh-CN"/>
        </w:rPr>
        <w:t>0.46万元</w:t>
      </w:r>
      <w:r>
        <w:rPr>
          <w:rFonts w:ascii="仿宋_GB2312" w:eastAsia="仿宋_GB2312" w:cs="仿宋_GB2312" w:hint="eastAsia"/>
          <w:color w:val="auto"/>
          <w:sz w:val="28"/>
          <w:szCs w:val="28"/>
          <w:lang w:val="zh-CN"/>
        </w:rPr>
        <w:t>）。</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sz w:val="28"/>
          <w:szCs w:val="28"/>
          <w:lang w:val="zh-CN"/>
        </w:rPr>
        <w:t>专项预算项目支出绩效：根据部门行政事业发展目标，结合财力可能，2020年共安排项目支出3项，总金额45.87万元（包括所有资金安排的项目）。一是“绿色邮政”费，资金总额1万元，其中：一般预算拨款安排1万元。主要用于</w:t>
      </w:r>
      <w:r>
        <w:rPr>
          <w:rFonts w:ascii="仿宋_GB2312" w:eastAsia="仿宋_GB2312" w:cs="仿宋_GB2312" w:hint="eastAsia"/>
          <w:color w:val="auto"/>
          <w:sz w:val="28"/>
          <w:szCs w:val="28"/>
          <w:lang w:val="zh-CN" w:eastAsia="zh-CN"/>
        </w:rPr>
        <w:t>“绿色邮件”的收寄、投递及引导群众通过书面方式反映问题，规范信访秩序，为</w:t>
      </w:r>
      <w:r>
        <w:rPr>
          <w:rFonts w:ascii="仿宋_GB2312" w:eastAsia="仿宋_GB2312" w:cs="仿宋_GB2312" w:hint="eastAsia"/>
          <w:color w:val="auto"/>
          <w:sz w:val="28"/>
          <w:szCs w:val="28"/>
          <w:lang w:val="zh-CN"/>
        </w:rPr>
        <w:t>群众免费邮寄信访件</w:t>
      </w:r>
      <w:r>
        <w:rPr>
          <w:rFonts w:ascii="仿宋_GB2312" w:eastAsia="仿宋_GB2312" w:cs="仿宋_GB2312" w:hint="eastAsia"/>
          <w:color w:val="auto"/>
          <w:sz w:val="28"/>
          <w:szCs w:val="28"/>
          <w:lang w:val="en-US" w:eastAsia="zh-CN"/>
        </w:rPr>
        <w:t>,降低信访成本，减少信访人投入，方便群众诉求，维护社会和谐稳定</w:t>
      </w:r>
      <w:r>
        <w:rPr>
          <w:rFonts w:ascii="仿宋_GB2312" w:eastAsia="仿宋_GB2312" w:cs="仿宋_GB2312" w:hint="eastAsia"/>
          <w:color w:val="auto"/>
          <w:sz w:val="28"/>
          <w:szCs w:val="28"/>
          <w:lang w:val="zh-CN"/>
        </w:rPr>
        <w:t>。二是州、县，县乡视频接访系统及县政府会议系统和全省信访信息系统运行费</w:t>
      </w:r>
      <w:r>
        <w:rPr>
          <w:rFonts w:ascii="仿宋_GB2312" w:eastAsia="仿宋_GB2312" w:cs="仿宋_GB2312" w:hint="eastAsia"/>
          <w:color w:val="auto"/>
          <w:sz w:val="28"/>
          <w:szCs w:val="28"/>
          <w:lang w:val="en-US" w:eastAsia="zh-CN"/>
        </w:rPr>
        <w:t>9.60</w:t>
      </w:r>
      <w:r>
        <w:rPr>
          <w:rFonts w:ascii="仿宋_GB2312" w:eastAsia="仿宋_GB2312" w:cs="仿宋_GB2312" w:hint="eastAsia"/>
          <w:color w:val="auto"/>
          <w:sz w:val="28"/>
          <w:szCs w:val="28"/>
          <w:lang w:val="zh-CN"/>
        </w:rPr>
        <w:t>万元，主要</w:t>
      </w:r>
      <w:r>
        <w:rPr>
          <w:rFonts w:ascii="仿宋_GB2312" w:eastAsia="仿宋_GB2312" w:cs="仿宋_GB2312" w:hint="eastAsia"/>
          <w:color w:val="auto"/>
          <w:kern w:val="0"/>
          <w:sz w:val="28"/>
          <w:szCs w:val="28"/>
          <w:lang w:val="zh-CN"/>
        </w:rPr>
        <w:t>用于通过远程视频会议，可以大大提高工作效率，节省与会人员的工作时间和交通费、食宿费等费用；确保了州、县、乡三级视频接访互联互通，有效解决我县各乡镇群众在当地就能向州县两级党委政府及部门领导直接反映诉求，开展政策咨询，节约信访成本。三是维稳工作组经费，资金总额</w:t>
      </w:r>
      <w:r>
        <w:rPr>
          <w:rFonts w:ascii="仿宋_GB2312" w:eastAsia="仿宋_GB2312" w:cs="仿宋_GB2312" w:hint="eastAsia"/>
          <w:color w:val="auto"/>
          <w:kern w:val="0"/>
          <w:sz w:val="28"/>
          <w:szCs w:val="28"/>
          <w:lang w:val="en-US" w:eastAsia="zh-CN"/>
        </w:rPr>
        <w:t>32.97</w:t>
      </w:r>
      <w:r>
        <w:rPr>
          <w:rFonts w:ascii="仿宋_GB2312" w:eastAsia="仿宋_GB2312" w:cs="仿宋_GB2312" w:hint="eastAsia"/>
          <w:color w:val="auto"/>
          <w:kern w:val="0"/>
          <w:sz w:val="28"/>
          <w:szCs w:val="28"/>
          <w:lang w:val="zh-CN"/>
        </w:rPr>
        <w:t>万元，主要用于驻蓉工作组在驻蓉期间开展信访稳定、劝返信访人等工作经费。</w:t>
      </w:r>
    </w:p>
    <w:p>
      <w:pPr>
        <w:widowControl/>
        <w:adjustRightInd w:val="0"/>
        <w:snapToGrid w:val="0"/>
        <w:spacing w:line="576" w:lineRule="exact"/>
        <w:ind w:firstLineChars="200" w:firstLine="56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lang w:val="zh-CN"/>
        </w:rPr>
        <w:t>绩效目标填报按照“谁申请资金，谁设定目标”的原则在项目库申报项目的同时填报绩效目标。</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及2020年预算编制时，我局围绕年度总体目标——依法处理群众信访问题，设置了绩效目标指标体系并申报了整体绩效目标。</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（二）执行管理情况</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阿坝州汶川县信访局</w:t>
      </w:r>
      <w:r>
        <w:rPr>
          <w:rFonts w:ascii="仿宋_GB2312" w:eastAsia="仿宋_GB2312" w:cs="仿宋_GB2312" w:hint="eastAsia"/>
          <w:color w:val="auto"/>
          <w:kern w:val="0"/>
          <w:sz w:val="28"/>
          <w:szCs w:val="28"/>
          <w:lang w:val="zh-CN"/>
        </w:rPr>
        <w:t>按照预算支出数进行预算数安排支出。</w:t>
      </w:r>
      <w:r>
        <w:rPr>
          <w:rFonts w:ascii="仿宋_GB2312" w:eastAsia="仿宋_GB2312" w:cs="仿宋_GB2312" w:hint="eastAsia"/>
          <w:color w:val="auto"/>
          <w:kern w:val="0"/>
          <w:sz w:val="28"/>
          <w:szCs w:val="28"/>
        </w:rPr>
        <w:t>其中</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1-12月执行进度为</w:t>
      </w:r>
      <w:r>
        <w:rPr>
          <w:rFonts w:ascii="仿宋_GB2312" w:eastAsia="仿宋_GB2312" w:cs="仿宋_GB2312" w:hint="eastAsia"/>
          <w:color w:val="auto"/>
          <w:kern w:val="0"/>
          <w:sz w:val="28"/>
          <w:szCs w:val="28"/>
          <w:lang w:val="en-US" w:eastAsia="zh-CN"/>
        </w:rPr>
        <w:t>99</w:t>
      </w:r>
      <w:r>
        <w:rPr>
          <w:rFonts w:ascii="仿宋_GB2312" w:eastAsia="仿宋_GB2312" w:cs="仿宋_GB2312" w:hint="eastAsia"/>
          <w:color w:val="auto"/>
          <w:kern w:val="0"/>
          <w:sz w:val="28"/>
          <w:szCs w:val="28"/>
        </w:rPr>
        <w:t>.</w:t>
      </w:r>
      <w:r>
        <w:rPr>
          <w:rFonts w:ascii="仿宋_GB2312" w:eastAsia="仿宋_GB2312" w:cs="仿宋_GB2312" w:hint="eastAsia"/>
          <w:color w:val="auto"/>
          <w:kern w:val="0"/>
          <w:sz w:val="28"/>
          <w:szCs w:val="28"/>
          <w:lang w:val="en-US" w:eastAsia="zh-CN"/>
        </w:rPr>
        <w:t>41</w:t>
      </w:r>
      <w:r>
        <w:rPr>
          <w:rFonts w:ascii="仿宋_GB2312" w:eastAsia="仿宋_GB2312" w:cs="仿宋_GB2312" w:hint="eastAsia"/>
          <w:color w:val="auto"/>
          <w:kern w:val="0"/>
          <w:sz w:val="28"/>
          <w:szCs w:val="28"/>
        </w:rPr>
        <w:t>%，年末结余资金</w:t>
      </w:r>
      <w:r>
        <w:rPr>
          <w:rFonts w:ascii="仿宋_GB2312" w:eastAsia="仿宋_GB2312" w:cs="仿宋_GB2312" w:hint="eastAsia"/>
          <w:color w:val="auto"/>
          <w:kern w:val="0"/>
          <w:sz w:val="28"/>
          <w:szCs w:val="28"/>
          <w:lang w:val="en-US" w:eastAsia="zh-CN"/>
        </w:rPr>
        <w:t>1</w:t>
      </w:r>
      <w:r>
        <w:rPr>
          <w:rFonts w:ascii="仿宋_GB2312" w:eastAsia="仿宋_GB2312" w:cs="仿宋_GB2312" w:hint="eastAsia"/>
          <w:color w:val="auto"/>
          <w:kern w:val="0"/>
          <w:sz w:val="28"/>
          <w:szCs w:val="28"/>
        </w:rPr>
        <w:t>万元属于项目资金（非基本建设类项目）。</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项目支出执行情况：</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项目支出预算调整数</w:t>
      </w:r>
      <w:r>
        <w:rPr>
          <w:rFonts w:ascii="仿宋_GB2312" w:eastAsia="仿宋_GB2312" w:cs="仿宋_GB2312" w:hint="eastAsia"/>
          <w:color w:val="auto"/>
          <w:kern w:val="0"/>
          <w:sz w:val="28"/>
          <w:szCs w:val="28"/>
          <w:lang w:val="en-US" w:eastAsia="zh-CN"/>
        </w:rPr>
        <w:t>20.40</w:t>
      </w:r>
      <w:r>
        <w:rPr>
          <w:rFonts w:ascii="仿宋_GB2312" w:eastAsia="仿宋_GB2312" w:cs="仿宋_GB2312" w:hint="eastAsia"/>
          <w:color w:val="auto"/>
          <w:kern w:val="0"/>
          <w:sz w:val="28"/>
          <w:szCs w:val="28"/>
        </w:rPr>
        <w:t>万元，</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项目支出决算数</w:t>
      </w:r>
      <w:r>
        <w:rPr>
          <w:rFonts w:ascii="仿宋_GB2312" w:eastAsia="仿宋_GB2312" w:cs="仿宋_GB2312" w:hint="eastAsia"/>
          <w:color w:val="auto"/>
          <w:kern w:val="0"/>
          <w:sz w:val="28"/>
          <w:szCs w:val="28"/>
          <w:lang w:val="en-US" w:eastAsia="zh-CN"/>
        </w:rPr>
        <w:t>19.28</w:t>
      </w:r>
      <w:r>
        <w:rPr>
          <w:rFonts w:ascii="仿宋_GB2312" w:eastAsia="仿宋_GB2312" w:cs="仿宋_GB2312" w:hint="eastAsia"/>
          <w:color w:val="auto"/>
          <w:kern w:val="0"/>
          <w:sz w:val="28"/>
          <w:szCs w:val="28"/>
        </w:rPr>
        <w:t>万元</w:t>
      </w:r>
      <w:r>
        <w:rPr>
          <w:rFonts w:ascii="仿宋_GB2312" w:eastAsia="仿宋_GB2312" w:cs="仿宋_GB2312" w:hint="eastAsia"/>
          <w:color w:val="auto"/>
          <w:kern w:val="0"/>
          <w:sz w:val="28"/>
          <w:szCs w:val="28"/>
          <w:lang w:eastAsia="zh-CN"/>
        </w:rPr>
        <w:t>（信访事务</w:t>
      </w:r>
      <w:r>
        <w:rPr>
          <w:rFonts w:ascii="仿宋_GB2312" w:eastAsia="仿宋_GB2312" w:cs="仿宋_GB2312" w:hint="eastAsia"/>
          <w:color w:val="auto"/>
          <w:kern w:val="0"/>
          <w:sz w:val="28"/>
          <w:szCs w:val="28"/>
          <w:lang w:val="en-US" w:eastAsia="zh-CN"/>
        </w:rPr>
        <w:t>13.20万元，2020年特殊疑难信访工作1.89万元，民族团结事务0.57万元，卫生健康支出0.18万元，抗疫特别国债安排的支出0.46万元，2019年特殊疑难信访工作3.00万元</w:t>
      </w:r>
      <w:r>
        <w:rPr>
          <w:rFonts w:ascii="仿宋_GB2312" w:eastAsia="仿宋_GB2312" w:cs="仿宋_GB2312" w:hint="eastAsia"/>
          <w:color w:val="auto"/>
          <w:kern w:val="0"/>
          <w:sz w:val="28"/>
          <w:szCs w:val="28"/>
          <w:lang w:eastAsia="zh-CN"/>
        </w:rPr>
        <w:t>）</w:t>
      </w:r>
      <w:r>
        <w:rPr>
          <w:rFonts w:ascii="仿宋_GB2312" w:eastAsia="仿宋_GB2312" w:cs="仿宋_GB2312" w:hint="eastAsia"/>
          <w:color w:val="auto"/>
          <w:kern w:val="0"/>
          <w:sz w:val="28"/>
          <w:szCs w:val="28"/>
        </w:rPr>
        <w:t>。年末结转和结余</w:t>
      </w:r>
      <w:r>
        <w:rPr>
          <w:rFonts w:ascii="仿宋_GB2312" w:eastAsia="仿宋_GB2312" w:cs="仿宋_GB2312" w:hint="eastAsia"/>
          <w:color w:val="auto"/>
          <w:kern w:val="0"/>
          <w:sz w:val="28"/>
          <w:szCs w:val="28"/>
          <w:lang w:val="en-US" w:eastAsia="zh-CN"/>
        </w:rPr>
        <w:t>1.1</w:t>
      </w:r>
      <w:r>
        <w:rPr>
          <w:rFonts w:ascii="仿宋_GB2312" w:eastAsia="仿宋_GB2312" w:cs="仿宋_GB2312" w:hint="eastAsia"/>
          <w:color w:val="auto"/>
          <w:kern w:val="0"/>
          <w:sz w:val="28"/>
          <w:szCs w:val="28"/>
        </w:rPr>
        <w:t>万元</w:t>
      </w:r>
      <w:r>
        <w:rPr>
          <w:rFonts w:ascii="仿宋_GB2312" w:eastAsia="仿宋_GB2312" w:cs="仿宋_GB2312" w:hint="eastAsia"/>
          <w:color w:val="auto"/>
          <w:kern w:val="0"/>
          <w:sz w:val="28"/>
          <w:szCs w:val="28"/>
          <w:lang w:eastAsia="zh-CN"/>
        </w:rPr>
        <w:t>（</w:t>
      </w:r>
      <w:r>
        <w:rPr>
          <w:rFonts w:ascii="仿宋_GB2312" w:eastAsia="仿宋_GB2312" w:cs="仿宋_GB2312" w:hint="eastAsia"/>
          <w:color w:val="auto"/>
          <w:kern w:val="0"/>
          <w:sz w:val="28"/>
          <w:szCs w:val="28"/>
          <w:lang w:val="en-US" w:eastAsia="zh-CN"/>
        </w:rPr>
        <w:t>2020年特殊疑难信访工作年末结转和结余1.1万元。</w:t>
      </w:r>
      <w:r>
        <w:rPr>
          <w:rFonts w:ascii="仿宋_GB2312" w:eastAsia="仿宋_GB2312" w:cs="仿宋_GB2312" w:hint="eastAsia"/>
          <w:color w:val="auto"/>
          <w:kern w:val="0"/>
          <w:sz w:val="28"/>
          <w:szCs w:val="28"/>
          <w:lang w:eastAsia="zh-CN"/>
        </w:rPr>
        <w:t>）</w:t>
      </w:r>
      <w:r>
        <w:rPr>
          <w:rFonts w:ascii="仿宋_GB2312" w:eastAsia="仿宋_GB2312" w:cs="仿宋_GB2312" w:hint="eastAsia"/>
          <w:color w:val="auto"/>
          <w:kern w:val="0"/>
          <w:sz w:val="28"/>
          <w:szCs w:val="28"/>
        </w:rPr>
        <w:t>。</w:t>
      </w:r>
    </w:p>
    <w:p>
      <w:pPr>
        <w:widowControl/>
        <w:adjustRightInd w:val="0"/>
        <w:snapToGrid w:val="0"/>
        <w:spacing w:line="576"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按照中央八项规定，坚持厉行节约，反对铺张浪费，严格执行“三公经费”预算，未超标准支出。</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，阿坝州汶川县信访局无因公出国（境）费、车辆购置费用，公务用车运行维护费</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发生额为</w:t>
      </w:r>
      <w:r>
        <w:rPr>
          <w:rFonts w:ascii="仿宋_GB2312" w:eastAsia="仿宋_GB2312" w:cs="仿宋_GB2312" w:hint="eastAsia"/>
          <w:color w:val="auto"/>
          <w:kern w:val="0"/>
          <w:sz w:val="28"/>
          <w:szCs w:val="28"/>
          <w:lang w:val="en-US" w:eastAsia="zh-CN"/>
        </w:rPr>
        <w:t>6.2万</w:t>
      </w:r>
      <w:r>
        <w:rPr>
          <w:rFonts w:ascii="仿宋_GB2312" w:eastAsia="仿宋_GB2312" w:cs="仿宋_GB2312" w:hint="eastAsia"/>
          <w:color w:val="auto"/>
          <w:kern w:val="0"/>
          <w:sz w:val="28"/>
          <w:szCs w:val="28"/>
        </w:rPr>
        <w:t>元，同比减少</w:t>
      </w:r>
      <w:r>
        <w:rPr>
          <w:rFonts w:ascii="仿宋_GB2312" w:eastAsia="仿宋_GB2312" w:cs="仿宋_GB2312" w:hint="eastAsia"/>
          <w:color w:val="auto"/>
          <w:kern w:val="0"/>
          <w:sz w:val="28"/>
          <w:szCs w:val="28"/>
          <w:lang w:val="en-US" w:eastAsia="zh-CN"/>
        </w:rPr>
        <w:t>30</w:t>
      </w:r>
      <w:r>
        <w:rPr>
          <w:rFonts w:ascii="仿宋_GB2312" w:eastAsia="仿宋_GB2312" w:cs="仿宋_GB2312" w:hint="eastAsia"/>
          <w:color w:val="auto"/>
          <w:kern w:val="0"/>
          <w:sz w:val="28"/>
          <w:szCs w:val="28"/>
        </w:rPr>
        <w:t>%；公务接待费</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发生额为0元，同比减少</w:t>
      </w:r>
      <w:r>
        <w:rPr>
          <w:rFonts w:ascii="仿宋_GB2312" w:eastAsia="仿宋_GB2312" w:cs="仿宋_GB2312" w:hint="eastAsia"/>
          <w:color w:val="auto"/>
          <w:kern w:val="0"/>
          <w:sz w:val="28"/>
          <w:szCs w:val="28"/>
          <w:lang w:val="en-US" w:eastAsia="zh-CN"/>
        </w:rPr>
        <w:t>100</w:t>
      </w:r>
      <w:r>
        <w:rPr>
          <w:rFonts w:ascii="仿宋_GB2312" w:eastAsia="仿宋_GB2312" w:cs="仿宋_GB2312" w:hint="eastAsia"/>
          <w:color w:val="auto"/>
          <w:kern w:val="0"/>
          <w:sz w:val="28"/>
          <w:szCs w:val="28"/>
        </w:rPr>
        <w:t>%；培训费</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发生额为</w:t>
      </w:r>
      <w:r>
        <w:rPr>
          <w:rFonts w:ascii="仿宋_GB2312" w:eastAsia="仿宋_GB2312" w:cs="仿宋_GB2312" w:hint="eastAsia"/>
          <w:color w:val="auto"/>
          <w:kern w:val="0"/>
          <w:sz w:val="28"/>
          <w:szCs w:val="28"/>
          <w:lang w:val="en-US" w:eastAsia="zh-CN"/>
        </w:rPr>
        <w:t>0</w:t>
      </w:r>
      <w:r>
        <w:rPr>
          <w:rFonts w:ascii="仿宋_GB2312" w:eastAsia="仿宋_GB2312" w:cs="仿宋_GB2312" w:hint="eastAsia"/>
          <w:color w:val="auto"/>
          <w:kern w:val="0"/>
          <w:sz w:val="28"/>
          <w:szCs w:val="28"/>
        </w:rPr>
        <w:t>元，主要用于</w:t>
      </w:r>
      <w:r>
        <w:rPr>
          <w:rFonts w:ascii="仿宋_GB2312" w:eastAsia="仿宋_GB2312" w:cs="仿宋_GB2312" w:hint="eastAsia"/>
          <w:color w:val="auto"/>
          <w:sz w:val="28"/>
          <w:szCs w:val="28"/>
        </w:rPr>
        <w:t>对各乡镇从事信访工作人员进行了相关信访业务培训；会议费</w:t>
      </w:r>
      <w:r>
        <w:rPr>
          <w:rFonts w:ascii="仿宋_GB2312" w:eastAsia="仿宋_GB2312" w:cs="仿宋_GB2312" w:hint="eastAsia"/>
          <w:color w:val="auto"/>
          <w:sz w:val="28"/>
          <w:szCs w:val="28"/>
          <w:lang w:eastAsia="zh-CN"/>
        </w:rPr>
        <w:t>2020年</w:t>
      </w:r>
      <w:r>
        <w:rPr>
          <w:rFonts w:ascii="仿宋_GB2312" w:eastAsia="仿宋_GB2312" w:cs="仿宋_GB2312" w:hint="eastAsia"/>
          <w:color w:val="auto"/>
          <w:sz w:val="28"/>
          <w:szCs w:val="28"/>
        </w:rPr>
        <w:t>发生额为</w:t>
      </w:r>
      <w:r>
        <w:rPr>
          <w:rFonts w:ascii="仿宋_GB2312" w:eastAsia="仿宋_GB2312" w:cs="仿宋_GB2312" w:hint="eastAsia"/>
          <w:color w:val="auto"/>
          <w:sz w:val="28"/>
          <w:szCs w:val="28"/>
          <w:lang w:val="en-US" w:eastAsia="zh-CN"/>
        </w:rPr>
        <w:t>0</w:t>
      </w:r>
      <w:r>
        <w:rPr>
          <w:rFonts w:ascii="仿宋_GB2312" w:eastAsia="仿宋_GB2312" w:cs="仿宋_GB2312" w:hint="eastAsia"/>
          <w:color w:val="auto"/>
          <w:sz w:val="28"/>
          <w:szCs w:val="28"/>
        </w:rPr>
        <w:t>元，主要用于召开各项信访联席相关工作会议。</w:t>
      </w:r>
      <w:r>
        <w:rPr>
          <w:rFonts w:ascii="仿宋_GB2312" w:eastAsia="仿宋_GB2312" w:cs="仿宋_GB2312" w:hint="eastAsia"/>
          <w:color w:val="auto"/>
          <w:sz w:val="28"/>
          <w:szCs w:val="28"/>
          <w:lang w:eastAsia="zh-CN"/>
        </w:rPr>
        <w:t>2020年</w:t>
      </w:r>
      <w:r>
        <w:rPr>
          <w:rFonts w:ascii="仿宋_GB2312" w:eastAsia="仿宋_GB2312" w:cs="仿宋_GB2312" w:hint="eastAsia"/>
          <w:color w:val="auto"/>
          <w:kern w:val="0"/>
          <w:sz w:val="28"/>
          <w:szCs w:val="28"/>
        </w:rPr>
        <w:t>我局费用得到了一定的控制且支出情况定期上报并进行了公开。</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（三）综合管理情况</w:t>
      </w:r>
    </w:p>
    <w:p>
      <w:pPr>
        <w:widowControl/>
        <w:adjustRightInd w:val="0"/>
        <w:snapToGrid w:val="0"/>
        <w:spacing w:line="576" w:lineRule="exact"/>
        <w:ind w:firstLine="720"/>
        <w:rPr>
          <w:rFonts w:ascii="仿宋_GB2312" w:eastAsia="仿宋_GB2312" w:cs="仿宋_GB2312" w:hint="eastAsia"/>
          <w:color w:val="auto"/>
          <w:kern w:val="0"/>
          <w:sz w:val="28"/>
          <w:szCs w:val="28"/>
          <w:lang w:eastAsia="zh-CN"/>
        </w:rPr>
      </w:pPr>
      <w:r>
        <w:rPr>
          <w:rFonts w:ascii="仿宋_GB2312" w:eastAsia="仿宋_GB2312" w:cs="仿宋_GB2312" w:hint="eastAsia"/>
          <w:color w:val="auto"/>
          <w:kern w:val="0"/>
          <w:sz w:val="28"/>
          <w:szCs w:val="28"/>
        </w:rPr>
        <w:t>阿坝州汶川县信访局</w:t>
      </w:r>
      <w:r>
        <w:rPr>
          <w:rFonts w:ascii="仿宋_GB2312" w:eastAsia="仿宋_GB2312" w:cs="仿宋_GB2312" w:hint="eastAsia"/>
          <w:color w:val="auto"/>
          <w:kern w:val="0"/>
          <w:sz w:val="28"/>
          <w:szCs w:val="28"/>
          <w:lang w:eastAsia="zh-CN"/>
        </w:rPr>
        <w:t>2020年无</w:t>
      </w:r>
      <w:r>
        <w:rPr>
          <w:rFonts w:ascii="仿宋_GB2312" w:eastAsia="仿宋_GB2312" w:cs="仿宋_GB2312" w:hint="eastAsia"/>
          <w:color w:val="auto"/>
          <w:kern w:val="0"/>
          <w:sz w:val="28"/>
          <w:szCs w:val="28"/>
        </w:rPr>
        <w:t>政府采购支出</w:t>
      </w:r>
      <w:r>
        <w:rPr>
          <w:rFonts w:ascii="仿宋_GB2312" w:eastAsia="仿宋_GB2312" w:cs="仿宋_GB2312" w:hint="eastAsia"/>
          <w:color w:val="auto"/>
          <w:kern w:val="0"/>
          <w:sz w:val="28"/>
          <w:szCs w:val="28"/>
          <w:lang w:eastAsia="zh-CN"/>
        </w:rPr>
        <w:t>。</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阿坝州汶川县信访局截止</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12月31日拥有资产总额32.25万元，其中流动资产约占60%，非流动资产约占40%。净资产总额31.46万元，占资产总额的97.55%。对资产按照《政府会计准则——基本准则》进行了分类管理。</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阿坝州汶川县信访局根据《行政事业单位内部控制规范》（财会〔2012〕21号）基本建立内部控制机制，梳理了预算、收支、采购、资产等业务的内部控制制度，初步形成了以预算为主线的内控体系。</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自从开展绩效管理工作以来：我单位财务工作正向正规化、制度化运行，财务工作受到高度重视。</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针对部门整体绩效进行了绩效目标申报，并在年度结束后进行了绩效评价。</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我局按照外部政策要求，对预决算情况、“三公经费”支出、政府采购等情况定期上报并进行了公开。在预算执行过程中，主动接收县财政的监督工作，积极配合完成各项填报及检查工作。</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（四）整体绩效</w:t>
      </w:r>
    </w:p>
    <w:p>
      <w:pPr>
        <w:widowControl/>
        <w:adjustRightInd w:val="0"/>
        <w:snapToGrid w:val="0"/>
        <w:spacing w:line="576" w:lineRule="exact"/>
        <w:ind w:firstLine="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rPr>
        <w:t>我局</w:t>
      </w:r>
      <w:r>
        <w:rPr>
          <w:rFonts w:ascii="仿宋_GB2312" w:eastAsia="仿宋_GB2312" w:cs="仿宋_GB2312" w:hint="eastAsia"/>
          <w:color w:val="auto"/>
          <w:kern w:val="0"/>
          <w:sz w:val="28"/>
          <w:szCs w:val="28"/>
          <w:lang w:val="zh-CN"/>
        </w:rPr>
        <w:t>通过不断完善制度、强化措施、压实责任、夯实基础等措施，综合运用法律、政策、经济、行政等手段和教育、调解、疏导等办法，我县信访工作呈现新亮点。</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lang w:val="zh-CN"/>
        </w:rPr>
        <w:t>，共排查交办矛盾纠纷、信访问题和信访积案148件，化解140件，化解率达到95%。</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同时，阿坝州汶川县信访局通过全省信访系统人民满意度窗口创建工作项目，提升了服务对象的满意度。</w:t>
      </w:r>
    </w:p>
    <w:p>
      <w:pPr>
        <w:widowControl/>
        <w:adjustRightInd w:val="0"/>
        <w:snapToGrid w:val="0"/>
        <w:spacing w:line="576" w:lineRule="exact"/>
        <w:ind w:firstLine="720"/>
        <w:jc w:val="left"/>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rPr>
        <w:t>四、评价结论及建议</w:t>
      </w:r>
    </w:p>
    <w:p>
      <w:pPr>
        <w:widowControl/>
        <w:adjustRightInd w:val="0"/>
        <w:snapToGrid w:val="0"/>
        <w:spacing w:line="576" w:lineRule="exact"/>
        <w:ind w:firstLine="720"/>
        <w:jc w:val="left"/>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（一）评价结论</w:t>
      </w:r>
    </w:p>
    <w:p>
      <w:pPr>
        <w:widowControl/>
        <w:adjustRightInd w:val="0"/>
        <w:snapToGrid w:val="0"/>
        <w:spacing w:line="576" w:lineRule="exact"/>
        <w:ind w:firstLine="720"/>
        <w:rPr>
          <w:rFonts w:ascii="仿宋_GB2312" w:eastAsia="仿宋_GB2312" w:cs="仿宋_GB2312" w:hint="eastAsia"/>
          <w:color w:val="auto"/>
          <w:kern w:val="0"/>
          <w:sz w:val="28"/>
          <w:szCs w:val="28"/>
        </w:rPr>
      </w:pP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，阿坝州汶川县信访局在县人民政府的领导下，较好的完成了各项目标任务。</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我单位的信访工作进行了改革落实，其主要包括：完善接访制度，突出领导干部接访下访；畅通信访渠道，及时就地解决信访问题；开展“两联一进”群众工作，持续推进信访维稳工作；健全工作机制，全力解决信访突出问题；重拳出击，依法治访，严厉打击非法上访行为；大力开展“全域无垃圾攻坚行动”。</w:t>
      </w:r>
    </w:p>
    <w:p>
      <w:pPr>
        <w:widowControl/>
        <w:adjustRightInd w:val="0"/>
        <w:snapToGrid w:val="0"/>
        <w:spacing w:line="576" w:lineRule="exact"/>
        <w:ind w:firstLine="720"/>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rPr>
        <w:t>通过强化措施、提供“有温度”的信访服务使我县信访工作呈现了新亮点。</w:t>
      </w:r>
      <w:r>
        <w:rPr>
          <w:rFonts w:ascii="仿宋_GB2312" w:eastAsia="仿宋_GB2312" w:cs="仿宋_GB2312" w:hint="eastAsia"/>
          <w:color w:val="auto"/>
          <w:kern w:val="0"/>
          <w:sz w:val="28"/>
          <w:szCs w:val="28"/>
          <w:lang w:eastAsia="zh-CN"/>
        </w:rPr>
        <w:t>2020年</w:t>
      </w:r>
      <w:r>
        <w:rPr>
          <w:rFonts w:ascii="仿宋_GB2312" w:eastAsia="仿宋_GB2312" w:cs="仿宋_GB2312" w:hint="eastAsia"/>
          <w:color w:val="auto"/>
          <w:kern w:val="0"/>
          <w:sz w:val="28"/>
          <w:szCs w:val="28"/>
        </w:rPr>
        <w:t>阿坝州汶川县信访局部门整体绩效总体情况较好。</w:t>
      </w:r>
    </w:p>
    <w:p>
      <w:pPr>
        <w:widowControl/>
        <w:adjustRightInd w:val="0"/>
        <w:snapToGrid w:val="0"/>
        <w:spacing w:line="576" w:lineRule="exact"/>
        <w:ind w:left="720"/>
        <w:rPr>
          <w:rFonts w:ascii="仿宋_GB2312" w:eastAsia="仿宋_GB2312" w:cs="仿宋_GB2312" w:hint="eastAsia"/>
          <w:color w:val="auto"/>
          <w:kern w:val="0"/>
          <w:sz w:val="28"/>
          <w:szCs w:val="28"/>
          <w:lang w:val="zh-CN"/>
        </w:rPr>
      </w:pPr>
      <w:r>
        <w:rPr>
          <w:rFonts w:ascii="仿宋_GB2312" w:eastAsia="仿宋_GB2312" w:cs="仿宋_GB2312" w:hint="eastAsia"/>
          <w:color w:val="auto"/>
          <w:kern w:val="0"/>
          <w:sz w:val="28"/>
          <w:szCs w:val="28"/>
          <w:lang w:val="zh-CN"/>
        </w:rPr>
        <w:t>（</w:t>
      </w:r>
      <w:r>
        <w:rPr>
          <w:rFonts w:ascii="仿宋_GB2312" w:eastAsia="仿宋_GB2312" w:cs="仿宋_GB2312" w:hint="eastAsia"/>
          <w:color w:val="auto"/>
          <w:kern w:val="0"/>
          <w:sz w:val="28"/>
          <w:szCs w:val="28"/>
        </w:rPr>
        <w:t>二</w:t>
      </w:r>
      <w:r>
        <w:rPr>
          <w:rFonts w:ascii="仿宋_GB2312" w:eastAsia="仿宋_GB2312" w:cs="仿宋_GB2312" w:hint="eastAsia"/>
          <w:color w:val="auto"/>
          <w:kern w:val="0"/>
          <w:sz w:val="28"/>
          <w:szCs w:val="28"/>
          <w:lang w:val="zh-CN"/>
        </w:rPr>
        <w:t>）存在问题</w:t>
      </w:r>
    </w:p>
    <w:p>
      <w:pPr>
        <w:pStyle w:val="15"/>
        <w:spacing w:line="576" w:lineRule="exact"/>
        <w:ind w:leftChars="0" w:left="0" w:rightChars="0" w:right="0"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阿坝州汶川县信访局需进一步建立健全财务制度，实施绩效评价，提高资金使用效益；加强资产管理，合理配置和有效利用资产，防止资产流失；加强对单位经济活动的财务控制和监督，防范财务风险；加强预算执行监控，做到“事前-事中-事后”的闭环管理模式。</w:t>
      </w:r>
    </w:p>
    <w:p>
      <w:pPr>
        <w:widowControl/>
        <w:adjustRightInd w:val="0"/>
        <w:snapToGrid w:val="0"/>
        <w:spacing w:line="576" w:lineRule="exact"/>
        <w:ind w:firstLineChars="200" w:firstLine="560"/>
        <w:jc w:val="left"/>
        <w:rPr>
          <w:rFonts w:ascii="仿宋_GB2312" w:eastAsia="仿宋_GB2312" w:cs="仿宋_GB2312" w:hint="eastAsia"/>
          <w:color w:val="auto"/>
          <w:sz w:val="28"/>
          <w:szCs w:val="28"/>
        </w:rPr>
      </w:pPr>
      <w:r>
        <w:rPr>
          <w:rFonts w:ascii="仿宋_GB2312" w:eastAsia="仿宋_GB2312" w:cs="仿宋_GB2312" w:hint="eastAsia"/>
          <w:color w:val="auto"/>
          <w:kern w:val="0"/>
          <w:sz w:val="28"/>
          <w:szCs w:val="28"/>
          <w:lang w:val="zh-CN"/>
        </w:rPr>
        <w:t>（三）改进建议</w:t>
      </w:r>
    </w:p>
    <w:p>
      <w:pPr>
        <w:pStyle w:val="15"/>
        <w:spacing w:line="576" w:lineRule="exact"/>
        <w:ind w:leftChars="0" w:left="0" w:rightChars="0" w:right="0"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加强财务人员培训。为提升单位财务工作的质量、提高资金使用效益、防止资产流失、控制单位财务风险，单位应加强财务人员的业务培训及外部政策学习，确保单位财务业务能力和业务素质持续在线。</w:t>
      </w:r>
    </w:p>
    <w:p>
      <w:pPr>
        <w:pStyle w:val="15"/>
        <w:spacing w:line="576" w:lineRule="exact"/>
        <w:ind w:leftChars="0" w:left="0" w:rightChars="0" w:right="0"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强化内部控制体系。为保证单位经济业务的合规性、内部管理的规范性，单位应根据《行政事业单位内部控制规范》（财会</w:t>
      </w:r>
      <w:r>
        <w:rPr>
          <w:rFonts w:ascii="仿宋_GB2312" w:eastAsia="仿宋_GB2312" w:cs="仿宋_GB2312" w:hint="eastAsia"/>
          <w:color w:val="auto"/>
          <w:kern w:val="0"/>
          <w:sz w:val="28"/>
          <w:szCs w:val="28"/>
        </w:rPr>
        <w:t>〔2012〕21号</w:t>
      </w:r>
      <w:r>
        <w:rPr>
          <w:rFonts w:ascii="仿宋_GB2312" w:eastAsia="仿宋_GB2312" w:cs="仿宋_GB2312" w:hint="eastAsia"/>
          <w:color w:val="auto"/>
          <w:sz w:val="28"/>
          <w:szCs w:val="28"/>
        </w:rPr>
        <w:t>）等相关要求，完善内部控制制度、梳理内部控制业务流程，从经济业务到履职业务建立健全单位的内部控制体系。</w:t>
      </w:r>
    </w:p>
    <w:p>
      <w:pPr>
        <w:pStyle w:val="15"/>
        <w:spacing w:line="576" w:lineRule="exact"/>
        <w:ind w:leftChars="0" w:left="0" w:rightChars="0" w:right="0"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加强单位预算绩效监控和结果应用。为保证单位建立“事前-事中-事后”预算绩效管理模式，单位应加强预算执行过程中的监控，并对监控及评价结果进行运用，保证预算绩效实现“闭环”管理。</w:t>
      </w:r>
    </w:p>
    <w:p>
      <w:pPr>
        <w:pStyle w:val="15"/>
        <w:spacing w:line="576" w:lineRule="exact"/>
        <w:ind w:leftChars="0" w:left="0" w:rightChars="0" w:right="0"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强化单位预算编制的科学性。为提高预算编制的科学性，单位应充分分析去年预算执行情况，结合当年事业规划，合理编制单位本期预算，减少预算偏差。</w:t>
      </w:r>
    </w:p>
    <w:p>
      <w:pPr>
        <w:spacing w:line="580" w:lineRule="exact"/>
        <w:ind w:firstLineChars="200" w:firstLine="560"/>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pStyle w:val="15"/>
        <w:rPr>
          <w:rFonts w:ascii="仿宋_GB2312" w:eastAsia="仿宋_GB2312" w:cs="仿宋_GB2312" w:hint="eastAsia"/>
          <w:color w:val="auto"/>
          <w:sz w:val="28"/>
          <w:szCs w:val="28"/>
        </w:rPr>
      </w:pPr>
    </w:p>
    <w:p>
      <w:pPr>
        <w:spacing w:line="580" w:lineRule="exact"/>
        <w:ind w:firstLineChars="200" w:firstLine="560"/>
        <w:rPr>
          <w:rFonts w:ascii="仿宋_GB2312" w:eastAsia="仿宋_GB2312" w:cs="仿宋_GB2312" w:hint="eastAsia"/>
          <w:color w:val="auto"/>
          <w:sz w:val="28"/>
          <w:szCs w:val="28"/>
        </w:rPr>
      </w:pPr>
    </w:p>
    <w:p>
      <w:pPr>
        <w:pStyle w:val="2"/>
        <w:rPr>
          <w:rStyle w:val="1Char"/>
          <w:rFonts w:ascii="仿宋" w:eastAsia="仿宋"/>
          <w:b w:val="0"/>
          <w:bCs w:val="0"/>
          <w:color w:val="auto"/>
          <w:sz w:val="28"/>
          <w:szCs w:val="28"/>
        </w:rPr>
      </w:pPr>
      <w:bookmarkStart w:id="79" w:name="_Toc16215"/>
      <w:r>
        <w:rPr>
          <w:rStyle w:val="1Char"/>
          <w:rFonts w:ascii="仿宋" w:eastAsia="仿宋" w:hint="eastAsia"/>
          <w:b w:val="0"/>
          <w:bCs w:val="0"/>
          <w:color w:val="auto"/>
          <w:sz w:val="28"/>
          <w:szCs w:val="28"/>
        </w:rPr>
        <w:t>附件2</w:t>
      </w:r>
      <w:bookmarkEnd w:id="79"/>
    </w:p>
    <w:p>
      <w:pPr>
        <w:spacing w:line="580" w:lineRule="exact"/>
        <w:jc w:val="center"/>
        <w:rPr>
          <w:rFonts w:ascii="黑体" w:eastAsia="黑体" w:cs="方正小标宋简体" w:hint="eastAsia"/>
          <w:color w:val="auto"/>
          <w:sz w:val="28"/>
          <w:szCs w:val="28"/>
          <w:lang w:eastAsia="zh-CN"/>
        </w:rPr>
      </w:pPr>
      <w:r>
        <w:rPr>
          <w:rFonts w:ascii="黑体" w:eastAsia="黑体" w:cs="方正小标宋简体" w:hint="eastAsia"/>
          <w:color w:val="auto"/>
          <w:sz w:val="28"/>
          <w:szCs w:val="28"/>
          <w:lang w:eastAsia="zh-CN"/>
        </w:rPr>
        <w:t>2020年汶川县信访局</w:t>
      </w:r>
    </w:p>
    <w:p>
      <w:pPr>
        <w:spacing w:line="580" w:lineRule="exact"/>
        <w:jc w:val="center"/>
        <w:rPr>
          <w:rFonts w:ascii="黑体" w:eastAsia="黑体" w:cs="方正小标宋简体"/>
          <w:color w:val="auto"/>
          <w:sz w:val="28"/>
          <w:szCs w:val="28"/>
        </w:rPr>
      </w:pPr>
      <w:r>
        <w:rPr>
          <w:rFonts w:ascii="黑体" w:eastAsia="黑体" w:cs="方正小标宋简体" w:hint="eastAsia"/>
          <w:color w:val="auto"/>
          <w:sz w:val="28"/>
          <w:szCs w:val="28"/>
        </w:rPr>
        <w:t>项目支出绩效评价报告</w:t>
      </w:r>
    </w:p>
    <w:p>
      <w:pPr>
        <w:spacing w:line="580" w:lineRule="exact"/>
        <w:ind w:firstLineChars="200" w:firstLine="560"/>
        <w:rPr>
          <w:rFonts w:ascii="仿宋_GB2312" w:eastAsia="仿宋_GB2312" w:cs="仿宋_GB2312"/>
          <w:color w:val="auto"/>
          <w:sz w:val="28"/>
          <w:szCs w:val="28"/>
        </w:rPr>
      </w:pPr>
    </w:p>
    <w:p>
      <w:pPr>
        <w:spacing w:line="580" w:lineRule="exact"/>
        <w:ind w:firstLineChars="200" w:firstLine="560"/>
        <w:rPr>
          <w:rFonts w:ascii="仿宋" w:eastAsia="仿宋" w:cs="仿宋_GB2312"/>
          <w:color w:val="auto"/>
          <w:sz w:val="28"/>
          <w:szCs w:val="28"/>
        </w:rPr>
      </w:pPr>
      <w:r>
        <w:rPr>
          <w:rFonts w:ascii="仿宋" w:eastAsia="仿宋" w:cs="仿宋_GB2312" w:hint="eastAsia"/>
          <w:color w:val="auto"/>
          <w:sz w:val="28"/>
          <w:szCs w:val="28"/>
        </w:rPr>
        <w:t>一</w:t>
      </w:r>
      <w:r>
        <w:rPr>
          <w:rFonts w:ascii="仿宋" w:eastAsia="仿宋" w:cs="仿宋_GB2312"/>
          <w:color w:val="auto"/>
          <w:sz w:val="28"/>
          <w:szCs w:val="28"/>
        </w:rPr>
        <w:t>、评价工作开展及项目情况</w:t>
      </w:r>
    </w:p>
    <w:p>
      <w:pPr>
        <w:spacing w:line="580" w:lineRule="exact"/>
        <w:ind w:firstLineChars="200" w:firstLine="560"/>
        <w:rPr>
          <w:rFonts w:ascii="仿宋" w:eastAsia="仿宋" w:cs="仿宋_GB2312"/>
          <w:color w:val="auto"/>
          <w:sz w:val="28"/>
          <w:szCs w:val="28"/>
        </w:rPr>
      </w:pPr>
      <w:r>
        <w:rPr>
          <w:rFonts w:ascii="仿宋" w:eastAsia="仿宋" w:cs="仿宋_GB2312" w:hint="eastAsia"/>
          <w:color w:val="auto"/>
          <w:sz w:val="28"/>
          <w:szCs w:val="28"/>
        </w:rPr>
        <w:t>围绕全</w:t>
      </w:r>
      <w:r>
        <w:rPr>
          <w:rFonts w:ascii="仿宋" w:eastAsia="仿宋" w:cs="仿宋_GB2312" w:hint="eastAsia"/>
          <w:color w:val="auto"/>
          <w:sz w:val="28"/>
          <w:szCs w:val="28"/>
          <w:lang w:eastAsia="zh-CN"/>
        </w:rPr>
        <w:t>县</w:t>
      </w:r>
      <w:r>
        <w:rPr>
          <w:rFonts w:ascii="仿宋" w:eastAsia="仿宋" w:cs="仿宋_GB2312" w:hint="eastAsia"/>
          <w:color w:val="auto"/>
          <w:sz w:val="28"/>
          <w:szCs w:val="28"/>
        </w:rPr>
        <w:t>中心工作，全力维护社会稳定。</w:t>
      </w:r>
      <w:r>
        <w:rPr>
          <w:rFonts w:ascii="仿宋" w:eastAsia="仿宋" w:cs="仿宋_GB2312" w:hint="eastAsia"/>
          <w:color w:val="auto"/>
          <w:sz w:val="28"/>
          <w:szCs w:val="28"/>
          <w:lang w:eastAsia="zh-CN"/>
        </w:rPr>
        <w:t>将</w:t>
      </w:r>
      <w:r>
        <w:rPr>
          <w:rFonts w:ascii="仿宋" w:eastAsia="仿宋" w:cs="仿宋_GB2312" w:hint="eastAsia"/>
          <w:color w:val="auto"/>
          <w:sz w:val="28"/>
          <w:szCs w:val="28"/>
        </w:rPr>
        <w:t>群体性事件，越级重访控制在最低状态。</w:t>
      </w:r>
    </w:p>
    <w:p>
      <w:pPr>
        <w:spacing w:line="580" w:lineRule="exact"/>
        <w:ind w:firstLineChars="200" w:firstLine="560"/>
        <w:rPr>
          <w:rFonts w:ascii="仿宋" w:eastAsia="仿宋" w:cs="仿宋_GB2312"/>
          <w:color w:val="auto"/>
          <w:sz w:val="28"/>
          <w:szCs w:val="28"/>
        </w:rPr>
      </w:pPr>
      <w:r>
        <w:rPr>
          <w:rFonts w:ascii="仿宋" w:eastAsia="仿宋" w:cs="仿宋_GB2312" w:hint="eastAsia"/>
          <w:color w:val="auto"/>
          <w:sz w:val="28"/>
          <w:szCs w:val="28"/>
        </w:rPr>
        <w:t>二</w:t>
      </w:r>
      <w:r>
        <w:rPr>
          <w:rFonts w:ascii="仿宋" w:eastAsia="仿宋" w:cs="仿宋_GB2312"/>
          <w:color w:val="auto"/>
          <w:sz w:val="28"/>
          <w:szCs w:val="28"/>
        </w:rPr>
        <w:t>、评价结论及绩效分析</w:t>
      </w:r>
    </w:p>
    <w:p>
      <w:pPr>
        <w:spacing w:line="580" w:lineRule="exact"/>
        <w:ind w:firstLineChars="200" w:firstLine="560"/>
        <w:rPr>
          <w:rFonts w:ascii="仿宋" w:eastAsia="仿宋" w:cs="仿宋_GB2312"/>
          <w:color w:val="auto"/>
          <w:sz w:val="28"/>
          <w:szCs w:val="28"/>
        </w:rPr>
      </w:pPr>
      <w:r>
        <w:rPr>
          <w:rFonts w:ascii="仿宋" w:eastAsia="仿宋" w:cs="仿宋_GB2312"/>
          <w:color w:val="auto"/>
          <w:sz w:val="28"/>
          <w:szCs w:val="28"/>
        </w:rPr>
        <w:t>（一）评价结论</w:t>
      </w:r>
    </w:p>
    <w:p>
      <w:pPr>
        <w:spacing w:line="580" w:lineRule="exact"/>
        <w:ind w:firstLineChars="200" w:firstLine="560"/>
        <w:rPr>
          <w:rFonts w:ascii="仿宋_GB2312" w:eastAsia="仿宋_GB2312" w:cs="仿宋_GB2312" w:hint="eastAsia"/>
          <w:color w:val="auto"/>
          <w:sz w:val="28"/>
          <w:szCs w:val="28"/>
        </w:rPr>
      </w:pPr>
      <w:r>
        <w:rPr>
          <w:rFonts w:ascii="仿宋_GB2312" w:eastAsia="仿宋_GB2312" w:cs="仿宋_GB2312" w:hint="eastAsia"/>
          <w:color w:val="auto"/>
          <w:sz w:val="28"/>
          <w:szCs w:val="28"/>
        </w:rPr>
        <w:t>有效解决</w:t>
      </w:r>
      <w:r>
        <w:rPr>
          <w:rFonts w:ascii="仿宋_GB2312" w:eastAsia="仿宋_GB2312" w:cs="仿宋_GB2312" w:hint="eastAsia"/>
          <w:color w:val="auto"/>
          <w:sz w:val="28"/>
          <w:szCs w:val="28"/>
          <w:lang w:eastAsia="zh-CN"/>
        </w:rPr>
        <w:t>了</w:t>
      </w:r>
      <w:r>
        <w:rPr>
          <w:rFonts w:ascii="仿宋_GB2312" w:eastAsia="仿宋_GB2312" w:cs="仿宋_GB2312" w:hint="eastAsia"/>
          <w:color w:val="auto"/>
          <w:sz w:val="28"/>
          <w:szCs w:val="28"/>
        </w:rPr>
        <w:t>我县各镇群众在当地就能向州县两级党委政府及部门领导直接反映诉求，开展政策咨询，节约信访成本</w:t>
      </w:r>
      <w:r>
        <w:rPr>
          <w:rFonts w:ascii="仿宋_GB2312" w:eastAsia="仿宋_GB2312" w:cs="仿宋_GB2312" w:hint="eastAsia"/>
          <w:color w:val="auto"/>
          <w:sz w:val="28"/>
          <w:szCs w:val="28"/>
          <w:lang w:eastAsia="zh-CN"/>
        </w:rPr>
        <w:t>，</w:t>
      </w:r>
      <w:r>
        <w:rPr>
          <w:rFonts w:ascii="仿宋_GB2312" w:eastAsia="仿宋_GB2312" w:cs="仿宋_GB2312" w:hint="eastAsia"/>
          <w:color w:val="auto"/>
          <w:sz w:val="28"/>
          <w:szCs w:val="28"/>
        </w:rPr>
        <w:t>使本县社会</w:t>
      </w:r>
      <w:r>
        <w:rPr>
          <w:rFonts w:ascii="仿宋_GB2312" w:eastAsia="仿宋_GB2312" w:cs="仿宋_GB2312" w:hint="eastAsia"/>
          <w:color w:val="auto"/>
          <w:sz w:val="28"/>
          <w:szCs w:val="28"/>
          <w:lang w:eastAsia="zh-CN"/>
        </w:rPr>
        <w:t>环境</w:t>
      </w:r>
      <w:r>
        <w:rPr>
          <w:rFonts w:ascii="仿宋_GB2312" w:eastAsia="仿宋_GB2312" w:cs="仿宋_GB2312" w:hint="eastAsia"/>
          <w:color w:val="auto"/>
          <w:sz w:val="28"/>
          <w:szCs w:val="28"/>
        </w:rPr>
        <w:t>更</w:t>
      </w:r>
      <w:r>
        <w:rPr>
          <w:rFonts w:ascii="仿宋_GB2312" w:eastAsia="仿宋_GB2312" w:cs="仿宋_GB2312" w:hint="eastAsia"/>
          <w:color w:val="auto"/>
          <w:sz w:val="28"/>
          <w:szCs w:val="28"/>
          <w:lang w:eastAsia="zh-CN"/>
        </w:rPr>
        <w:t>加</w:t>
      </w:r>
      <w:r>
        <w:rPr>
          <w:rFonts w:ascii="仿宋_GB2312" w:eastAsia="仿宋_GB2312" w:cs="仿宋_GB2312" w:hint="eastAsia"/>
          <w:color w:val="auto"/>
          <w:sz w:val="28"/>
          <w:szCs w:val="28"/>
        </w:rPr>
        <w:t>和谐。</w:t>
      </w:r>
    </w:p>
    <w:p>
      <w:pPr>
        <w:spacing w:line="580" w:lineRule="exact"/>
        <w:ind w:firstLineChars="200" w:firstLine="560"/>
        <w:rPr>
          <w:rFonts w:ascii="仿宋" w:eastAsia="仿宋" w:cs="仿宋_GB2312"/>
          <w:color w:val="auto"/>
          <w:sz w:val="28"/>
          <w:szCs w:val="28"/>
        </w:rPr>
      </w:pPr>
      <w:r>
        <w:rPr>
          <w:rFonts w:ascii="仿宋" w:eastAsia="仿宋" w:cs="仿宋_GB2312"/>
          <w:color w:val="auto"/>
          <w:sz w:val="28"/>
          <w:szCs w:val="28"/>
        </w:rPr>
        <w:t>（二）绩效分析</w:t>
      </w:r>
    </w:p>
    <w:p>
      <w:pPr>
        <w:spacing w:line="580" w:lineRule="exact"/>
        <w:ind w:firstLineChars="200" w:firstLine="560"/>
        <w:rPr>
          <w:rFonts w:ascii="仿宋" w:eastAsia="仿宋" w:cs="仿宋_GB2312" w:hint="eastAsia"/>
          <w:color w:val="auto"/>
          <w:sz w:val="28"/>
          <w:szCs w:val="28"/>
        </w:rPr>
      </w:pPr>
      <w:r>
        <w:rPr>
          <w:rFonts w:ascii="仿宋" w:eastAsia="仿宋" w:cs="仿宋_GB2312"/>
          <w:color w:val="auto"/>
          <w:sz w:val="28"/>
          <w:szCs w:val="28"/>
        </w:rPr>
        <w:t>1、项目决策</w:t>
      </w:r>
    </w:p>
    <w:p>
      <w:pPr>
        <w:spacing w:line="580" w:lineRule="exact"/>
        <w:ind w:firstLineChars="200" w:firstLine="560"/>
        <w:rPr>
          <w:rFonts w:ascii="仿宋" w:eastAsia="仿宋" w:cs="仿宋_GB2312" w:hint="eastAsia"/>
          <w:color w:val="auto"/>
          <w:sz w:val="28"/>
          <w:szCs w:val="28"/>
          <w:lang w:eastAsia="zh-CN"/>
        </w:rPr>
      </w:pPr>
      <w:r>
        <w:rPr>
          <w:rFonts w:ascii="仿宋" w:eastAsia="仿宋" w:cs="仿宋_GB2312" w:hint="eastAsia"/>
          <w:color w:val="auto"/>
          <w:sz w:val="28"/>
          <w:szCs w:val="28"/>
        </w:rPr>
        <w:t>为进一步加大全县信访积案化解工作力度，全力实现我县信访积案“减存量、控增量”的工作目标，专门针对信访积案、老案、难案进行集中处理化解</w:t>
      </w:r>
      <w:r>
        <w:rPr>
          <w:rFonts w:ascii="仿宋" w:eastAsia="仿宋" w:cs="仿宋_GB2312" w:hint="eastAsia"/>
          <w:color w:val="auto"/>
          <w:sz w:val="28"/>
          <w:szCs w:val="28"/>
          <w:lang w:eastAsia="zh-CN"/>
        </w:rPr>
        <w:t>，降低群众上访率，达到息诉息访的目的，使我县社会环境得到进一步稳定提高。</w:t>
      </w:r>
    </w:p>
    <w:p>
      <w:pPr>
        <w:spacing w:line="580" w:lineRule="exact"/>
        <w:ind w:firstLineChars="200" w:firstLine="560"/>
        <w:rPr>
          <w:rFonts w:ascii="仿宋" w:eastAsia="仿宋" w:cs="仿宋_GB2312"/>
          <w:color w:val="auto"/>
          <w:sz w:val="28"/>
          <w:szCs w:val="28"/>
        </w:rPr>
      </w:pPr>
      <w:r>
        <w:rPr>
          <w:rFonts w:ascii="仿宋" w:eastAsia="仿宋" w:cs="仿宋_GB2312"/>
          <w:color w:val="auto"/>
          <w:sz w:val="28"/>
          <w:szCs w:val="28"/>
        </w:rPr>
        <w:t>2、项目管理</w:t>
      </w:r>
    </w:p>
    <w:p>
      <w:pPr>
        <w:spacing w:line="580" w:lineRule="exact"/>
        <w:ind w:firstLineChars="200" w:firstLine="560"/>
        <w:rPr>
          <w:rFonts w:ascii="仿宋" w:eastAsia="仿宋" w:cs="仿宋_GB2312" w:hint="eastAsia"/>
          <w:color w:val="auto"/>
          <w:sz w:val="28"/>
          <w:szCs w:val="28"/>
        </w:rPr>
      </w:pPr>
      <w:r>
        <w:rPr>
          <w:rFonts w:ascii="仿宋" w:eastAsia="仿宋" w:cs="仿宋_GB2312" w:hint="eastAsia"/>
          <w:color w:val="auto"/>
          <w:sz w:val="28"/>
          <w:szCs w:val="28"/>
        </w:rPr>
        <w:t>根据上级相关政策</w:t>
      </w:r>
      <w:r>
        <w:rPr>
          <w:rFonts w:ascii="仿宋" w:eastAsia="仿宋" w:cs="仿宋_GB2312" w:hint="eastAsia"/>
          <w:color w:val="auto"/>
          <w:sz w:val="28"/>
          <w:szCs w:val="28"/>
          <w:lang w:eastAsia="zh-CN"/>
        </w:rPr>
        <w:t>与</w:t>
      </w:r>
      <w:r>
        <w:rPr>
          <w:rFonts w:ascii="仿宋" w:eastAsia="仿宋" w:cs="仿宋_GB2312" w:hint="eastAsia"/>
          <w:color w:val="auto"/>
          <w:sz w:val="28"/>
          <w:szCs w:val="28"/>
        </w:rPr>
        <w:t>实际情况，在资金管理使用上，我局严格按照各项专项资金使用用途安排该专项资金的支出使用，严格遵守“专款专用”原则，严格落实专项资金的申拨、使用审批手续，充分发挥资金使用效益。专项费用报销时除需经本单位领导层层审批外，还需送往财政部门对口股室审核盖章方予以报账。</w:t>
      </w:r>
    </w:p>
    <w:p>
      <w:pPr>
        <w:spacing w:line="580" w:lineRule="exact"/>
        <w:ind w:firstLineChars="200" w:firstLine="560"/>
        <w:rPr>
          <w:rFonts w:ascii="仿宋" w:eastAsia="仿宋" w:cs="仿宋_GB2312"/>
          <w:color w:val="auto"/>
          <w:sz w:val="28"/>
          <w:szCs w:val="28"/>
        </w:rPr>
      </w:pPr>
      <w:r>
        <w:rPr>
          <w:rFonts w:ascii="仿宋" w:eastAsia="仿宋" w:cs="仿宋_GB2312"/>
          <w:color w:val="auto"/>
          <w:sz w:val="28"/>
          <w:szCs w:val="28"/>
        </w:rPr>
        <w:t>3、项目绩效</w:t>
      </w:r>
    </w:p>
    <w:p>
      <w:pPr>
        <w:spacing w:line="580" w:lineRule="exact"/>
        <w:ind w:firstLineChars="200" w:firstLine="560"/>
        <w:rPr>
          <w:rFonts w:ascii="仿宋" w:eastAsia="仿宋" w:cs="仿宋_GB2312"/>
          <w:color w:val="auto"/>
          <w:sz w:val="28"/>
          <w:szCs w:val="28"/>
        </w:rPr>
      </w:pPr>
      <w:r>
        <w:rPr>
          <w:rFonts w:ascii="仿宋_GB2312" w:eastAsia="仿宋_GB2312" w:cs="仿宋_GB2312" w:hint="eastAsia"/>
          <w:color w:val="auto"/>
          <w:sz w:val="28"/>
          <w:szCs w:val="28"/>
          <w:lang w:eastAsia="zh-CN"/>
        </w:rPr>
        <w:t>汶川县信访局</w:t>
      </w:r>
      <w:r>
        <w:rPr>
          <w:rFonts w:ascii="仿宋_GB2312" w:eastAsia="仿宋_GB2312" w:cs="仿宋_GB2312" w:hint="eastAsia"/>
          <w:color w:val="auto"/>
          <w:sz w:val="28"/>
          <w:szCs w:val="28"/>
        </w:rPr>
        <w:t>严格执行机关财务管理规章制度，实行会计核算和账务管理制度上墙，政府采购制度公开公示，并接受群众监督等。绩效管理严格按照上级部门要求，开展自评工作，对评价结果及时总结上报。</w:t>
      </w:r>
    </w:p>
    <w:p>
      <w:pPr>
        <w:spacing w:line="580" w:lineRule="exact"/>
        <w:ind w:firstLineChars="200" w:firstLine="560"/>
        <w:rPr>
          <w:rFonts w:ascii="仿宋" w:eastAsia="仿宋" w:cs="仿宋_GB2312"/>
          <w:color w:val="auto"/>
          <w:sz w:val="28"/>
          <w:szCs w:val="28"/>
        </w:rPr>
      </w:pPr>
      <w:r>
        <w:rPr>
          <w:rFonts w:ascii="仿宋" w:eastAsia="仿宋" w:cs="仿宋_GB2312" w:hint="eastAsia"/>
          <w:color w:val="auto"/>
          <w:sz w:val="28"/>
          <w:szCs w:val="28"/>
        </w:rPr>
        <w:t>三</w:t>
      </w:r>
      <w:r>
        <w:rPr>
          <w:rFonts w:ascii="仿宋" w:eastAsia="仿宋" w:cs="仿宋_GB2312"/>
          <w:color w:val="auto"/>
          <w:sz w:val="28"/>
          <w:szCs w:val="28"/>
        </w:rPr>
        <w:t>、存在主要问题</w:t>
      </w:r>
    </w:p>
    <w:p>
      <w:pPr>
        <w:spacing w:line="580" w:lineRule="exact"/>
        <w:ind w:firstLineChars="200" w:firstLine="560"/>
        <w:rPr>
          <w:rFonts w:ascii="仿宋" w:eastAsia="仿宋" w:cs="仿宋_GB2312" w:hint="eastAsia"/>
          <w:color w:val="auto"/>
          <w:sz w:val="28"/>
          <w:szCs w:val="28"/>
        </w:rPr>
      </w:pPr>
      <w:r>
        <w:rPr>
          <w:rFonts w:ascii="仿宋" w:eastAsia="仿宋" w:cs="仿宋_GB2312" w:hint="eastAsia"/>
          <w:color w:val="auto"/>
          <w:sz w:val="28"/>
          <w:szCs w:val="28"/>
        </w:rPr>
        <w:t>资金使用管理制度落实方面有待加强，资金支出审批工作程序有待完善。</w:t>
      </w:r>
    </w:p>
    <w:p>
      <w:pPr>
        <w:spacing w:line="580" w:lineRule="exact"/>
        <w:ind w:firstLineChars="200" w:firstLine="560"/>
        <w:rPr>
          <w:rFonts w:ascii="仿宋" w:eastAsia="仿宋" w:cs="仿宋_GB2312" w:hint="eastAsia"/>
          <w:color w:val="auto"/>
          <w:sz w:val="28"/>
          <w:szCs w:val="28"/>
        </w:rPr>
      </w:pPr>
      <w:r>
        <w:rPr>
          <w:rFonts w:ascii="仿宋" w:eastAsia="仿宋" w:cs="仿宋_GB2312" w:hint="eastAsia"/>
          <w:color w:val="auto"/>
          <w:sz w:val="28"/>
          <w:szCs w:val="28"/>
        </w:rPr>
        <w:t>四</w:t>
      </w:r>
      <w:r>
        <w:rPr>
          <w:rFonts w:ascii="仿宋" w:eastAsia="仿宋" w:cs="仿宋_GB2312"/>
          <w:color w:val="auto"/>
          <w:sz w:val="28"/>
          <w:szCs w:val="28"/>
        </w:rPr>
        <w:t>、相关措施建议</w:t>
      </w:r>
    </w:p>
    <w:p>
      <w:pPr>
        <w:spacing w:line="580" w:lineRule="exact"/>
        <w:ind w:firstLineChars="200" w:firstLine="560"/>
        <w:rPr>
          <w:rFonts w:ascii="仿宋" w:eastAsia="仿宋" w:cs="仿宋_GB2312" w:hint="eastAsia"/>
          <w:color w:val="auto"/>
          <w:sz w:val="28"/>
          <w:szCs w:val="28"/>
        </w:rPr>
      </w:pPr>
      <w:r>
        <w:rPr>
          <w:rFonts w:ascii="仿宋" w:eastAsia="仿宋" w:cs="仿宋_GB2312" w:hint="eastAsia"/>
          <w:color w:val="auto"/>
          <w:sz w:val="28"/>
          <w:szCs w:val="28"/>
        </w:rPr>
        <w:t>1、进一步健全和完善财务管理制度及内部控制制度，创新管理手段，用新思路、新方法，改进完善财务管理方法。</w:t>
      </w:r>
    </w:p>
    <w:p>
      <w:pPr>
        <w:spacing w:line="580" w:lineRule="exact"/>
        <w:ind w:firstLineChars="200" w:firstLine="560"/>
        <w:rPr>
          <w:rFonts w:ascii="仿宋" w:eastAsia="仿宋" w:cs="仿宋_GB2312" w:hint="eastAsia"/>
          <w:color w:val="auto"/>
          <w:sz w:val="28"/>
          <w:szCs w:val="28"/>
        </w:rPr>
      </w:pPr>
      <w:r>
        <w:rPr>
          <w:rFonts w:ascii="仿宋" w:eastAsia="仿宋" w:cs="仿宋_GB2312" w:hint="eastAsia"/>
          <w:color w:val="auto"/>
          <w:sz w:val="28"/>
          <w:szCs w:val="28"/>
        </w:rPr>
        <w:t>2、按照财政支出绩效管理的要求，建立科学的财政资金效益考评制度体系，不断提高财政资金使用管理的水平和效率。</w:t>
      </w: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spacing w:line="580" w:lineRule="exact"/>
        <w:ind w:firstLineChars="200" w:firstLine="560"/>
        <w:rPr>
          <w:rFonts w:ascii="仿宋" w:eastAsia="仿宋" w:cs="仿宋_GB2312"/>
          <w:color w:val="auto"/>
          <w:sz w:val="28"/>
          <w:szCs w:val="28"/>
        </w:rPr>
      </w:pPr>
    </w:p>
    <w:p>
      <w:pPr>
        <w:pStyle w:val="15"/>
        <w:rPr>
          <w:color w:val="auto"/>
        </w:rPr>
      </w:pPr>
    </w:p>
    <w:p>
      <w:pPr>
        <w:spacing w:line="580" w:lineRule="exact"/>
        <w:ind w:firstLineChars="200" w:firstLine="560"/>
        <w:rPr>
          <w:rFonts w:ascii="仿宋" w:eastAsia="仿宋" w:cs="仿宋_GB2312"/>
          <w:color w:val="auto"/>
          <w:sz w:val="28"/>
          <w:szCs w:val="28"/>
        </w:rPr>
      </w:pPr>
    </w:p>
    <w:p>
      <w:pPr>
        <w:spacing w:line="580" w:lineRule="exact"/>
        <w:rPr>
          <w:rFonts w:ascii="仿宋" w:eastAsia="仿宋" w:cs="仿宋_GB2312" w:hint="eastAsia"/>
          <w:color w:val="auto"/>
          <w:sz w:val="28"/>
          <w:szCs w:val="28"/>
          <w:lang w:val="en-US" w:eastAsia="zh-CN"/>
        </w:rPr>
      </w:pPr>
    </w:p>
    <w:p>
      <w:pPr>
        <w:spacing w:line="600" w:lineRule="exact"/>
        <w:jc w:val="center"/>
        <w:outlineLvl w:val="0"/>
        <w:rPr>
          <w:rStyle w:val="1Char"/>
          <w:rFonts w:ascii="仿宋_GB2312" w:eastAsia="仿宋_GB2312" w:cs="仿宋_GB2312" w:hint="eastAsia"/>
          <w:b w:val="0"/>
          <w:color w:val="auto"/>
          <w:sz w:val="28"/>
          <w:szCs w:val="28"/>
        </w:rPr>
      </w:pPr>
      <w:bookmarkStart w:id="80" w:name="_Toc1645"/>
      <w:r>
        <w:rPr>
          <w:rFonts w:ascii="仿宋_GB2312" w:eastAsia="仿宋_GB2312" w:cs="仿宋_GB2312" w:hint="eastAsia"/>
          <w:color w:val="auto"/>
          <w:sz w:val="28"/>
          <w:szCs w:val="28"/>
        </w:rPr>
        <w:t>第</w:t>
      </w:r>
      <w:r>
        <w:rPr>
          <w:rStyle w:val="1Char"/>
          <w:rFonts w:ascii="仿宋_GB2312" w:eastAsia="仿宋_GB2312" w:cs="仿宋_GB2312" w:hint="eastAsia"/>
          <w:b w:val="0"/>
          <w:color w:val="auto"/>
          <w:sz w:val="28"/>
          <w:szCs w:val="28"/>
        </w:rPr>
        <w:t>五部分 附表</w:t>
      </w:r>
      <w:bookmarkEnd w:id="72"/>
      <w:bookmarkEnd w:id="80"/>
    </w:p>
    <w:p>
      <w:pPr>
        <w:spacing w:line="600" w:lineRule="exact"/>
        <w:jc w:val="center"/>
        <w:outlineLvl w:val="0"/>
        <w:rPr>
          <w:rFonts w:ascii="仿宋_GB2312" w:eastAsia="仿宋_GB2312" w:cs="仿宋_GB2312" w:hint="eastAsia"/>
          <w:b/>
          <w:color w:val="auto"/>
          <w:sz w:val="28"/>
          <w:szCs w:val="28"/>
        </w:rPr>
      </w:pPr>
    </w:p>
    <w:p>
      <w:pPr>
        <w:pStyle w:val="2"/>
        <w:rPr>
          <w:rFonts w:ascii="仿宋_GB2312" w:eastAsia="仿宋_GB2312" w:cs="仿宋_GB2312" w:hint="eastAsia"/>
          <w:color w:val="auto"/>
          <w:sz w:val="28"/>
          <w:szCs w:val="28"/>
        </w:rPr>
      </w:pPr>
      <w:bookmarkStart w:id="81" w:name="_Toc18910"/>
      <w:r>
        <w:rPr>
          <w:rFonts w:ascii="仿宋_GB2312" w:eastAsia="仿宋_GB2312" w:cs="仿宋_GB2312" w:hint="eastAsia"/>
          <w:b w:val="0"/>
          <w:color w:val="auto"/>
          <w:sz w:val="28"/>
          <w:szCs w:val="28"/>
        </w:rPr>
        <w:t>一、收</w:t>
      </w:r>
      <w:r>
        <w:rPr>
          <w:rStyle w:val="2Char"/>
          <w:rFonts w:ascii="仿宋_GB2312" w:eastAsia="仿宋_GB2312" w:cs="仿宋_GB2312" w:hint="eastAsia"/>
          <w:b w:val="0"/>
          <w:bCs w:val="0"/>
          <w:color w:val="auto"/>
          <w:sz w:val="28"/>
          <w:szCs w:val="28"/>
        </w:rPr>
        <w:t>入支出决算总表</w:t>
      </w:r>
      <w:bookmarkEnd w:id="81"/>
    </w:p>
    <w:p>
      <w:pPr>
        <w:pStyle w:val="2"/>
        <w:rPr>
          <w:rFonts w:ascii="仿宋_GB2312" w:eastAsia="仿宋_GB2312" w:cs="仿宋_GB2312" w:hint="eastAsia"/>
          <w:color w:val="auto"/>
          <w:sz w:val="28"/>
          <w:szCs w:val="28"/>
        </w:rPr>
      </w:pPr>
      <w:bookmarkStart w:id="82" w:name="_Toc12767"/>
      <w:r>
        <w:rPr>
          <w:rFonts w:ascii="仿宋_GB2312" w:eastAsia="仿宋_GB2312" w:cs="仿宋_GB2312" w:hint="eastAsia"/>
          <w:b w:val="0"/>
          <w:color w:val="auto"/>
          <w:sz w:val="28"/>
          <w:szCs w:val="28"/>
        </w:rPr>
        <w:t>二、收</w:t>
      </w:r>
      <w:r>
        <w:rPr>
          <w:rStyle w:val="2Char"/>
          <w:rFonts w:ascii="仿宋_GB2312" w:eastAsia="仿宋_GB2312" w:cs="仿宋_GB2312" w:hint="eastAsia"/>
          <w:b w:val="0"/>
          <w:bCs w:val="0"/>
          <w:color w:val="auto"/>
          <w:sz w:val="28"/>
          <w:szCs w:val="28"/>
        </w:rPr>
        <w:t>入总表</w:t>
      </w:r>
      <w:bookmarkEnd w:id="82"/>
    </w:p>
    <w:p>
      <w:pPr>
        <w:pStyle w:val="2"/>
        <w:rPr>
          <w:rFonts w:ascii="仿宋_GB2312" w:eastAsia="仿宋_GB2312" w:cs="仿宋_GB2312" w:hint="eastAsia"/>
          <w:color w:val="auto"/>
          <w:sz w:val="28"/>
          <w:szCs w:val="28"/>
        </w:rPr>
      </w:pPr>
      <w:bookmarkStart w:id="83" w:name="_Toc11668"/>
      <w:r>
        <w:rPr>
          <w:rStyle w:val="2Char"/>
          <w:rFonts w:ascii="仿宋_GB2312" w:eastAsia="仿宋_GB2312" w:cs="仿宋_GB2312" w:hint="eastAsia"/>
          <w:b w:val="0"/>
          <w:bCs w:val="0"/>
          <w:color w:val="auto"/>
          <w:sz w:val="28"/>
          <w:szCs w:val="28"/>
        </w:rPr>
        <w:t>三、</w:t>
      </w:r>
      <w:r>
        <w:rPr>
          <w:rFonts w:ascii="仿宋_GB2312" w:eastAsia="仿宋_GB2312" w:cs="仿宋_GB2312" w:hint="eastAsia"/>
          <w:b w:val="0"/>
          <w:color w:val="auto"/>
          <w:sz w:val="28"/>
          <w:szCs w:val="28"/>
        </w:rPr>
        <w:t>支</w:t>
      </w:r>
      <w:r>
        <w:rPr>
          <w:rStyle w:val="2Char"/>
          <w:rFonts w:ascii="仿宋_GB2312" w:eastAsia="仿宋_GB2312" w:cs="仿宋_GB2312" w:hint="eastAsia"/>
          <w:b w:val="0"/>
          <w:bCs w:val="0"/>
          <w:color w:val="auto"/>
          <w:sz w:val="28"/>
          <w:szCs w:val="28"/>
        </w:rPr>
        <w:t>出总表</w:t>
      </w:r>
      <w:bookmarkEnd w:id="83"/>
    </w:p>
    <w:p>
      <w:pPr>
        <w:pStyle w:val="2"/>
        <w:rPr>
          <w:rFonts w:ascii="仿宋_GB2312" w:eastAsia="仿宋_GB2312" w:cs="仿宋_GB2312" w:hint="eastAsia"/>
          <w:b w:val="0"/>
          <w:color w:val="auto"/>
          <w:sz w:val="28"/>
          <w:szCs w:val="28"/>
        </w:rPr>
      </w:pPr>
      <w:bookmarkStart w:id="84" w:name="_Toc32574"/>
      <w:r>
        <w:rPr>
          <w:rStyle w:val="2Char"/>
          <w:rFonts w:ascii="仿宋_GB2312" w:eastAsia="仿宋_GB2312" w:cs="仿宋_GB2312" w:hint="eastAsia"/>
          <w:b w:val="0"/>
          <w:bCs w:val="0"/>
          <w:color w:val="auto"/>
          <w:sz w:val="28"/>
          <w:szCs w:val="28"/>
        </w:rPr>
        <w:t>四、</w:t>
      </w:r>
      <w:r>
        <w:rPr>
          <w:rFonts w:ascii="仿宋_GB2312" w:eastAsia="仿宋_GB2312" w:cs="仿宋_GB2312" w:hint="eastAsia"/>
          <w:b w:val="0"/>
          <w:color w:val="auto"/>
          <w:sz w:val="28"/>
          <w:szCs w:val="28"/>
        </w:rPr>
        <w:t>财</w:t>
      </w:r>
      <w:r>
        <w:rPr>
          <w:rStyle w:val="2Char"/>
          <w:rFonts w:ascii="仿宋_GB2312" w:eastAsia="仿宋_GB2312" w:cs="仿宋_GB2312" w:hint="eastAsia"/>
          <w:b w:val="0"/>
          <w:bCs w:val="0"/>
          <w:color w:val="auto"/>
          <w:sz w:val="28"/>
          <w:szCs w:val="28"/>
        </w:rPr>
        <w:t>政拨款收入支出决算总表</w:t>
      </w:r>
      <w:bookmarkEnd w:id="84"/>
    </w:p>
    <w:p>
      <w:pPr>
        <w:pStyle w:val="2"/>
        <w:rPr>
          <w:rFonts w:ascii="仿宋_GB2312" w:eastAsia="仿宋_GB2312" w:cs="仿宋_GB2312" w:hint="eastAsia"/>
          <w:color w:val="auto"/>
          <w:sz w:val="28"/>
          <w:szCs w:val="28"/>
        </w:rPr>
      </w:pPr>
      <w:bookmarkStart w:id="85" w:name="_Toc23568"/>
      <w:r>
        <w:rPr>
          <w:rStyle w:val="2Char"/>
          <w:rFonts w:ascii="仿宋_GB2312" w:eastAsia="仿宋_GB2312" w:cs="仿宋_GB2312" w:hint="eastAsia"/>
          <w:b w:val="0"/>
          <w:bCs w:val="0"/>
          <w:color w:val="auto"/>
          <w:sz w:val="28"/>
          <w:szCs w:val="28"/>
        </w:rPr>
        <w:t>五、</w:t>
      </w:r>
      <w:r>
        <w:rPr>
          <w:rFonts w:ascii="仿宋_GB2312" w:eastAsia="仿宋_GB2312" w:cs="仿宋_GB2312" w:hint="eastAsia"/>
          <w:b w:val="0"/>
          <w:color w:val="auto"/>
          <w:sz w:val="28"/>
          <w:szCs w:val="28"/>
        </w:rPr>
        <w:t>财</w:t>
      </w:r>
      <w:r>
        <w:rPr>
          <w:rStyle w:val="2Char"/>
          <w:rFonts w:ascii="仿宋_GB2312" w:eastAsia="仿宋_GB2312" w:cs="仿宋_GB2312" w:hint="eastAsia"/>
          <w:b w:val="0"/>
          <w:bCs w:val="0"/>
          <w:color w:val="auto"/>
          <w:sz w:val="28"/>
          <w:szCs w:val="28"/>
        </w:rPr>
        <w:t>政拨款支出决算明细表（政府经济分类科目）</w:t>
      </w:r>
      <w:bookmarkEnd w:id="85"/>
    </w:p>
    <w:p>
      <w:pPr>
        <w:pStyle w:val="2"/>
        <w:rPr>
          <w:rFonts w:ascii="仿宋_GB2312" w:eastAsia="仿宋_GB2312" w:cs="仿宋_GB2312" w:hint="eastAsia"/>
          <w:color w:val="auto"/>
          <w:sz w:val="28"/>
          <w:szCs w:val="28"/>
        </w:rPr>
      </w:pPr>
      <w:bookmarkStart w:id="86" w:name="_Toc12185"/>
      <w:r>
        <w:rPr>
          <w:rStyle w:val="2Char"/>
          <w:rFonts w:ascii="仿宋_GB2312" w:eastAsia="仿宋_GB2312" w:cs="仿宋_GB2312" w:hint="eastAsia"/>
          <w:b w:val="0"/>
          <w:bCs w:val="0"/>
          <w:color w:val="auto"/>
          <w:sz w:val="28"/>
          <w:szCs w:val="28"/>
        </w:rPr>
        <w:t>六、</w:t>
      </w:r>
      <w:r>
        <w:rPr>
          <w:rFonts w:ascii="仿宋_GB2312" w:eastAsia="仿宋_GB2312" w:cs="仿宋_GB2312" w:hint="eastAsia"/>
          <w:b w:val="0"/>
          <w:color w:val="auto"/>
          <w:sz w:val="28"/>
          <w:szCs w:val="28"/>
        </w:rPr>
        <w:t>一</w:t>
      </w:r>
      <w:r>
        <w:rPr>
          <w:rStyle w:val="2Char"/>
          <w:rFonts w:ascii="仿宋_GB2312" w:eastAsia="仿宋_GB2312" w:cs="仿宋_GB2312" w:hint="eastAsia"/>
          <w:b w:val="0"/>
          <w:bCs w:val="0"/>
          <w:color w:val="auto"/>
          <w:sz w:val="28"/>
          <w:szCs w:val="28"/>
        </w:rPr>
        <w:t>般公共预算财政拨款支出决算表</w:t>
      </w:r>
      <w:bookmarkEnd w:id="86"/>
    </w:p>
    <w:p>
      <w:pPr>
        <w:pStyle w:val="2"/>
        <w:rPr>
          <w:rFonts w:ascii="仿宋_GB2312" w:eastAsia="仿宋_GB2312" w:cs="仿宋_GB2312" w:hint="eastAsia"/>
          <w:color w:val="auto"/>
          <w:sz w:val="28"/>
          <w:szCs w:val="28"/>
        </w:rPr>
      </w:pPr>
      <w:bookmarkStart w:id="87" w:name="_Toc6327"/>
      <w:r>
        <w:rPr>
          <w:rStyle w:val="2Char"/>
          <w:rFonts w:ascii="仿宋_GB2312" w:eastAsia="仿宋_GB2312" w:cs="仿宋_GB2312" w:hint="eastAsia"/>
          <w:b w:val="0"/>
          <w:bCs w:val="0"/>
          <w:color w:val="auto"/>
          <w:sz w:val="28"/>
          <w:szCs w:val="28"/>
        </w:rPr>
        <w:t>七、</w:t>
      </w:r>
      <w:r>
        <w:rPr>
          <w:rFonts w:ascii="仿宋_GB2312" w:eastAsia="仿宋_GB2312" w:cs="仿宋_GB2312" w:hint="eastAsia"/>
          <w:b w:val="0"/>
          <w:color w:val="auto"/>
          <w:sz w:val="28"/>
          <w:szCs w:val="28"/>
        </w:rPr>
        <w:t>一</w:t>
      </w:r>
      <w:r>
        <w:rPr>
          <w:rStyle w:val="2Char"/>
          <w:rFonts w:ascii="仿宋_GB2312" w:eastAsia="仿宋_GB2312" w:cs="仿宋_GB2312" w:hint="eastAsia"/>
          <w:b w:val="0"/>
          <w:bCs w:val="0"/>
          <w:color w:val="auto"/>
          <w:sz w:val="28"/>
          <w:szCs w:val="28"/>
        </w:rPr>
        <w:t>般公共预算财政拨款支出决算明细表</w:t>
      </w:r>
      <w:bookmarkEnd w:id="87"/>
    </w:p>
    <w:p>
      <w:pPr>
        <w:pStyle w:val="2"/>
        <w:rPr>
          <w:rFonts w:ascii="仿宋_GB2312" w:eastAsia="仿宋_GB2312" w:cs="仿宋_GB2312" w:hint="eastAsia"/>
          <w:color w:val="auto"/>
          <w:sz w:val="28"/>
          <w:szCs w:val="28"/>
        </w:rPr>
      </w:pPr>
      <w:bookmarkStart w:id="88" w:name="_Toc3359"/>
      <w:r>
        <w:rPr>
          <w:rStyle w:val="2Char"/>
          <w:rFonts w:ascii="仿宋_GB2312" w:eastAsia="仿宋_GB2312" w:cs="仿宋_GB2312" w:hint="eastAsia"/>
          <w:b w:val="0"/>
          <w:bCs w:val="0"/>
          <w:color w:val="auto"/>
          <w:sz w:val="28"/>
          <w:szCs w:val="28"/>
        </w:rPr>
        <w:t>八、</w:t>
      </w:r>
      <w:r>
        <w:rPr>
          <w:rFonts w:ascii="仿宋_GB2312" w:eastAsia="仿宋_GB2312" w:cs="仿宋_GB2312" w:hint="eastAsia"/>
          <w:b w:val="0"/>
          <w:color w:val="auto"/>
          <w:sz w:val="28"/>
          <w:szCs w:val="28"/>
        </w:rPr>
        <w:t>一</w:t>
      </w:r>
      <w:r>
        <w:rPr>
          <w:rStyle w:val="2Char"/>
          <w:rFonts w:ascii="仿宋_GB2312" w:eastAsia="仿宋_GB2312" w:cs="仿宋_GB2312" w:hint="eastAsia"/>
          <w:b w:val="0"/>
          <w:bCs w:val="0"/>
          <w:color w:val="auto"/>
          <w:sz w:val="28"/>
          <w:szCs w:val="28"/>
        </w:rPr>
        <w:t>般公共预算财政拨款基本支出决算表</w:t>
      </w:r>
      <w:bookmarkEnd w:id="88"/>
    </w:p>
    <w:p>
      <w:pPr>
        <w:pStyle w:val="2"/>
        <w:rPr>
          <w:rFonts w:ascii="仿宋_GB2312" w:eastAsia="仿宋_GB2312" w:cs="仿宋_GB2312" w:hint="eastAsia"/>
          <w:color w:val="auto"/>
          <w:sz w:val="28"/>
          <w:szCs w:val="28"/>
        </w:rPr>
      </w:pPr>
      <w:bookmarkStart w:id="89" w:name="_Toc20433"/>
      <w:r>
        <w:rPr>
          <w:rStyle w:val="2Char"/>
          <w:rFonts w:ascii="仿宋_GB2312" w:eastAsia="仿宋_GB2312" w:cs="仿宋_GB2312" w:hint="eastAsia"/>
          <w:b w:val="0"/>
          <w:bCs w:val="0"/>
          <w:color w:val="auto"/>
          <w:sz w:val="28"/>
          <w:szCs w:val="28"/>
        </w:rPr>
        <w:t>九、</w:t>
      </w:r>
      <w:r>
        <w:rPr>
          <w:rFonts w:ascii="仿宋_GB2312" w:eastAsia="仿宋_GB2312" w:cs="仿宋_GB2312" w:hint="eastAsia"/>
          <w:b w:val="0"/>
          <w:color w:val="auto"/>
          <w:sz w:val="28"/>
          <w:szCs w:val="28"/>
        </w:rPr>
        <w:t>一</w:t>
      </w:r>
      <w:r>
        <w:rPr>
          <w:rStyle w:val="2Char"/>
          <w:rFonts w:ascii="仿宋_GB2312" w:eastAsia="仿宋_GB2312" w:cs="仿宋_GB2312" w:hint="eastAsia"/>
          <w:b w:val="0"/>
          <w:bCs w:val="0"/>
          <w:color w:val="auto"/>
          <w:sz w:val="28"/>
          <w:szCs w:val="28"/>
        </w:rPr>
        <w:t>般公共预算财政拨款项目支出决算表</w:t>
      </w:r>
      <w:bookmarkEnd w:id="89"/>
    </w:p>
    <w:p>
      <w:pPr>
        <w:pStyle w:val="2"/>
        <w:rPr>
          <w:rFonts w:ascii="仿宋_GB2312" w:eastAsia="仿宋_GB2312" w:cs="仿宋_GB2312" w:hint="eastAsia"/>
          <w:color w:val="auto"/>
          <w:sz w:val="28"/>
          <w:szCs w:val="28"/>
        </w:rPr>
      </w:pPr>
      <w:bookmarkStart w:id="90" w:name="_Toc23149"/>
      <w:r>
        <w:rPr>
          <w:rStyle w:val="2Char"/>
          <w:rFonts w:ascii="仿宋_GB2312" w:eastAsia="仿宋_GB2312" w:cs="仿宋_GB2312" w:hint="eastAsia"/>
          <w:b w:val="0"/>
          <w:bCs w:val="0"/>
          <w:color w:val="auto"/>
          <w:sz w:val="28"/>
          <w:szCs w:val="28"/>
        </w:rPr>
        <w:t>十、</w:t>
      </w:r>
      <w:r>
        <w:rPr>
          <w:rFonts w:ascii="仿宋_GB2312" w:eastAsia="仿宋_GB2312" w:cs="仿宋_GB2312" w:hint="eastAsia"/>
          <w:b w:val="0"/>
          <w:color w:val="auto"/>
          <w:sz w:val="28"/>
          <w:szCs w:val="28"/>
        </w:rPr>
        <w:t>一</w:t>
      </w:r>
      <w:r>
        <w:rPr>
          <w:rStyle w:val="2Char"/>
          <w:rFonts w:ascii="仿宋_GB2312" w:eastAsia="仿宋_GB2312" w:cs="仿宋_GB2312" w:hint="eastAsia"/>
          <w:b w:val="0"/>
          <w:bCs w:val="0"/>
          <w:color w:val="auto"/>
          <w:sz w:val="28"/>
          <w:szCs w:val="28"/>
        </w:rPr>
        <w:t>般公共预算财政拨款“三公”经费支出决算表</w:t>
      </w:r>
      <w:bookmarkEnd w:id="90"/>
    </w:p>
    <w:p>
      <w:pPr>
        <w:pStyle w:val="2"/>
        <w:rPr>
          <w:rFonts w:ascii="仿宋_GB2312" w:eastAsia="仿宋_GB2312" w:cs="仿宋_GB2312" w:hint="eastAsia"/>
          <w:color w:val="auto"/>
          <w:sz w:val="28"/>
          <w:szCs w:val="28"/>
        </w:rPr>
      </w:pPr>
      <w:bookmarkStart w:id="91" w:name="_Toc27443"/>
      <w:r>
        <w:rPr>
          <w:rStyle w:val="2Char"/>
          <w:rFonts w:ascii="仿宋_GB2312" w:eastAsia="仿宋_GB2312" w:cs="仿宋_GB2312" w:hint="eastAsia"/>
          <w:b w:val="0"/>
          <w:bCs w:val="0"/>
          <w:color w:val="auto"/>
          <w:sz w:val="28"/>
          <w:szCs w:val="28"/>
        </w:rPr>
        <w:t>十一、</w:t>
      </w:r>
      <w:r>
        <w:rPr>
          <w:rFonts w:ascii="仿宋_GB2312" w:eastAsia="仿宋_GB2312" w:cs="仿宋_GB2312" w:hint="eastAsia"/>
          <w:b w:val="0"/>
          <w:color w:val="auto"/>
          <w:sz w:val="28"/>
          <w:szCs w:val="28"/>
        </w:rPr>
        <w:t>政</w:t>
      </w:r>
      <w:r>
        <w:rPr>
          <w:rStyle w:val="2Char"/>
          <w:rFonts w:ascii="仿宋_GB2312" w:eastAsia="仿宋_GB2312" w:cs="仿宋_GB2312" w:hint="eastAsia"/>
          <w:b w:val="0"/>
          <w:bCs w:val="0"/>
          <w:color w:val="auto"/>
          <w:sz w:val="28"/>
          <w:szCs w:val="28"/>
        </w:rPr>
        <w:t>府性基金预算财政拨款收入支出决算表</w:t>
      </w:r>
      <w:bookmarkEnd w:id="91"/>
    </w:p>
    <w:p>
      <w:pPr>
        <w:pStyle w:val="2"/>
        <w:rPr>
          <w:rFonts w:ascii="仿宋_GB2312" w:eastAsia="仿宋_GB2312" w:cs="仿宋_GB2312" w:hint="eastAsia"/>
          <w:color w:val="auto"/>
          <w:sz w:val="28"/>
          <w:szCs w:val="28"/>
        </w:rPr>
      </w:pPr>
      <w:bookmarkStart w:id="92" w:name="_Toc27910"/>
      <w:r>
        <w:rPr>
          <w:rStyle w:val="2Char"/>
          <w:rFonts w:ascii="仿宋_GB2312" w:eastAsia="仿宋_GB2312" w:cs="仿宋_GB2312" w:hint="eastAsia"/>
          <w:b w:val="0"/>
          <w:bCs w:val="0"/>
          <w:color w:val="auto"/>
          <w:sz w:val="28"/>
          <w:szCs w:val="28"/>
        </w:rPr>
        <w:t>十二、</w:t>
      </w:r>
      <w:r>
        <w:rPr>
          <w:rFonts w:ascii="仿宋_GB2312" w:eastAsia="仿宋_GB2312" w:cs="仿宋_GB2312" w:hint="eastAsia"/>
          <w:b w:val="0"/>
          <w:color w:val="auto"/>
          <w:sz w:val="28"/>
          <w:szCs w:val="28"/>
        </w:rPr>
        <w:t>政</w:t>
      </w:r>
      <w:r>
        <w:rPr>
          <w:rStyle w:val="2Char"/>
          <w:rFonts w:ascii="仿宋_GB2312" w:eastAsia="仿宋_GB2312" w:cs="仿宋_GB2312" w:hint="eastAsia"/>
          <w:b w:val="0"/>
          <w:bCs w:val="0"/>
          <w:color w:val="auto"/>
          <w:sz w:val="28"/>
          <w:szCs w:val="28"/>
        </w:rPr>
        <w:t>府性基金预算财政拨款“三公”经费支出决算表</w:t>
      </w:r>
      <w:bookmarkEnd w:id="92"/>
    </w:p>
    <w:p>
      <w:pPr>
        <w:pStyle w:val="2"/>
        <w:rPr>
          <w:rStyle w:val="2Char"/>
          <w:rFonts w:ascii="仿宋_GB2312" w:eastAsia="仿宋_GB2312" w:cs="仿宋_GB2312" w:hint="eastAsia"/>
          <w:b w:val="0"/>
          <w:bCs w:val="0"/>
          <w:color w:val="auto"/>
          <w:sz w:val="28"/>
          <w:szCs w:val="28"/>
        </w:rPr>
      </w:pPr>
      <w:bookmarkStart w:id="93" w:name="_Toc14668"/>
      <w:r>
        <w:rPr>
          <w:rStyle w:val="2Char"/>
          <w:rFonts w:ascii="仿宋_GB2312" w:eastAsia="仿宋_GB2312" w:cs="仿宋_GB2312" w:hint="eastAsia"/>
          <w:b w:val="0"/>
          <w:bCs w:val="0"/>
          <w:color w:val="auto"/>
          <w:sz w:val="28"/>
          <w:szCs w:val="28"/>
        </w:rPr>
        <w:t>十三、</w:t>
      </w:r>
      <w:r>
        <w:rPr>
          <w:rFonts w:ascii="仿宋_GB2312" w:eastAsia="仿宋_GB2312" w:cs="仿宋_GB2312" w:hint="eastAsia"/>
          <w:b w:val="0"/>
          <w:color w:val="auto"/>
          <w:sz w:val="28"/>
          <w:szCs w:val="28"/>
        </w:rPr>
        <w:t>国</w:t>
      </w:r>
      <w:r>
        <w:rPr>
          <w:rStyle w:val="2Char"/>
          <w:rFonts w:ascii="仿宋_GB2312" w:eastAsia="仿宋_GB2312" w:cs="仿宋_GB2312" w:hint="eastAsia"/>
          <w:b w:val="0"/>
          <w:bCs w:val="0"/>
          <w:color w:val="auto"/>
          <w:sz w:val="28"/>
          <w:szCs w:val="28"/>
        </w:rPr>
        <w:t>有资本经营预算支出决算表</w:t>
      </w:r>
      <w:bookmarkEnd w:id="93"/>
    </w:p>
    <w:p>
      <w:pPr>
        <w:rPr>
          <w:rFonts w:ascii="仿宋_GB2312" w:eastAsia="仿宋_GB2312" w:cs="仿宋_GB2312" w:hint="eastAsia"/>
          <w:color w:val="auto"/>
          <w:sz w:val="28"/>
          <w:szCs w:val="28"/>
        </w:rPr>
      </w:pPr>
      <w:bookmarkStart w:id="94" w:name="_Toc21677"/>
      <w:r>
        <w:rPr>
          <w:rStyle w:val="2Char"/>
          <w:rFonts w:ascii="仿宋" w:eastAsia="仿宋" w:hint="eastAsia"/>
          <w:b/>
          <w:bCs/>
          <w:color w:val="auto"/>
          <w:sz w:val="28"/>
          <w:szCs w:val="28"/>
          <w:lang w:val="en-US" w:eastAsia="zh-CN" w:bidi="ar-SA"/>
        </w:rPr>
        <w:t>（见2020年决算公开表）</w:t>
      </w:r>
      <w:bookmarkEnd w:id="94"/>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1"/>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Calibri Light">
    <w:panose1 w:val="020F0302020204030204"/>
    <w:charset w:val="00"/>
    <w:family w:val="auto"/>
    <w:pitch w:val="variable"/>
    <w:sig w:usb0="A00002EF" w:usb1="4000207B" w:usb2="00000000" w:usb3="00000000" w:csb0="2000019F"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88997692"/>
      <w:docPartList>
        <w:docPartGallery w:val="autotext"/>
      </w:docPartList>
    </w:sdtPr>
    <w:sdtContent>
      <w:p>
        <w:pPr>
          <w:pStyle w:val="17"/>
          <w:tabs>
            <w:tab w:val="center" w:pos="4153"/>
            <w:tab w:val="right" w:pos="8306"/>
          </w:tabs>
          <w:jc w:val="center"/>
        </w:pPr>
        <w:r>
          <w:fldChar w:fldCharType="begin"/>
        </w:r>
        <w:r>
          <w:instrText>PAGE   \* MERGEFORMAT</w:instrText>
        </w:r>
        <w:r>
          <w:fldChar w:fldCharType="separate"/>
        </w:r>
        <w:r>
          <w:rPr>
            <w:lang w:val="zh-CN"/>
          </w:rPr>
          <w:t>2</w:t>
        </w:r>
        <w:r>
          <w:fldChar w:fldCharType="end"/>
        </w:r>
      </w:p>
    </w:sdtContent>
  </w:sdt>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35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2">
    <w:nsid w:val="AE317E3C"/>
    <w:multiLevelType w:val="singleLevel"/>
    <w:tmpl w:val="AE317E3C"/>
    <w:lvl w:ilvl="0">
      <w:start w:val="1"/>
      <w:numFmt w:val="decimal"/>
      <w:lvlRestart w:val="0"/>
      <w:suff w:val="nothing"/>
      <w:lvlText w:val="（%1）"/>
      <w:lvlJc w:val="left"/>
      <w:pPr>
        <w:ind w:left="0" w:hanging="0"/>
      </w:p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hint="eastAsia"/>
      </w:rPr>
    </w:lvl>
  </w:abstractNum>
  <w:abstractNum w:abstractNumId="4">
    <w:nsid w:val="0B03B5C9"/>
    <w:multiLevelType w:val="singleLevel"/>
    <w:tmpl w:val="0B03B5C9"/>
    <w:lvl w:ilvl="0">
      <w:start w:val="2"/>
      <w:numFmt w:val="chineseCounting"/>
      <w:lvlRestart w:val="0"/>
      <w:suff w:val="nothing"/>
      <w:lvlText w:val="（%1）"/>
      <w:lvlJc w:val="left"/>
      <w:pPr>
        <w:ind w:left="0" w:hanging="0"/>
      </w:pPr>
      <w:rPr>
        <w:rFonts w:hint="eastAsia"/>
      </w:rPr>
    </w:lvl>
  </w:abstractNum>
  <w:abstractNum w:abstractNumId="5">
    <w:nsid w:val="E48FA99E"/>
    <w:multiLevelType w:val="singleLevel"/>
    <w:tmpl w:val="E48FA99E"/>
    <w:lvl w:ilvl="0">
      <w:start w:val="2"/>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libri Light" w:eastAsia="宋体" w:cs="Times New Roman" w:hAnsi="Calibri Light"/>
      <w:b/>
      <w:bCs/>
      <w:sz w:val="32"/>
      <w:szCs w:val="32"/>
    </w:rPr>
  </w:style>
  <w:style w:type="character" w:customStyle="1" w:styleId="2Char">
    <w:name w:val="heading 2 Char"/>
    <w:basedOn w:val="10"/>
    <w:link w:val="2"/>
    <w:rPr>
      <w:rFonts w:ascii="Calibri Light" w:eastAsia="宋体" w:cs="Times New Roman" w:hAnsi="Calibri Light"/>
      <w:b/>
      <w:bCs/>
      <w:kern w:val="2"/>
      <w:sz w:val="32"/>
      <w:szCs w:val="32"/>
      <w:lang w:val="en-US" w:eastAsia="zh-CN" w:bidi="ar-SA"/>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lock Text"/>
    <w:basedOn w:val="0"/>
    <w:pPr>
      <w:ind w:leftChars="700" w:left="700" w:rightChars="700" w:right="700"/>
    </w:pPr>
  </w:style>
  <w:style w:type="paragraph" w:styleId="16">
    <w:name w:val="Body Text"/>
    <w:basedOn w:val="0"/>
    <w:pPr>
      <w:spacing w:beforeLines="30" w:before="30"/>
    </w:pPr>
    <w:rPr>
      <w:rFonts w:ascii="仿宋_GB2312" w:eastAsia="仿宋_GB2312"/>
      <w:kern w:val="0"/>
      <w:sz w:val="30"/>
    </w:rPr>
  </w:style>
  <w:style w:type="paragraph" w:styleId="17">
    <w:name w:val="footer"/>
    <w:basedOn w:val="0"/>
    <w:pPr>
      <w:tabs>
        <w:tab w:val="center" w:pos="4153"/>
        <w:tab w:val="right" w:pos="8306"/>
      </w:tabs>
      <w:snapToGrid w:val="0"/>
      <w:jc w:val="left"/>
    </w:pPr>
    <w:rPr>
      <w:rFonts w:ascii="Calibri" w:hAnsi="Calibri"/>
      <w:kern w:val="0"/>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9">
    <w:name w:val="toc 1"/>
    <w:basedOn w:val="0"/>
    <w:next w:val="0"/>
    <w:pPr>
      <w:tabs>
        <w:tab w:val="right" w:leader="dot" w:pos="8296"/>
      </w:tabs>
      <w:spacing w:before="93"/>
      <w:jc w:val="center"/>
    </w:pPr>
    <w:rPr>
      <w:rFonts w:ascii="仿宋" w:eastAsia="仿宋"/>
      <w:sz w:val="28"/>
      <w:szCs w:val="28"/>
    </w:rPr>
  </w:style>
  <w:style w:type="paragraph" w:styleId="20">
    <w:name w:val="toc 2"/>
    <w:basedOn w:val="0"/>
    <w:next w:val="0"/>
    <w:pPr>
      <w:tabs>
        <w:tab w:val="right" w:leader="dot" w:pos="8296"/>
      </w:tabs>
      <w:ind w:leftChars="200" w:left="200"/>
    </w:pPr>
  </w:style>
  <w:style w:type="paragraph" w:styleId="21">
    <w:name w:val="Normal (Web)"/>
    <w:basedOn w:val="0"/>
    <w:pPr>
      <w:widowControl/>
      <w:jc w:val="left"/>
    </w:pPr>
    <w:rPr>
      <w:rFonts w:ascii="宋体" w:cs="宋体"/>
      <w:kern w:val="0"/>
      <w:sz w:val="24"/>
    </w:rPr>
  </w:style>
  <w:style w:type="character" w:styleId="22">
    <w:name w:val="Strong"/>
    <w:basedOn w:val="10"/>
    <w:rPr>
      <w:b/>
    </w:rPr>
  </w:style>
  <w:style w:type="character" w:styleId="23">
    <w:name w:val="Hyperlink"/>
    <w:basedOn w:val="10"/>
    <w:rPr>
      <w:color w:val="0563C1"/>
      <w:u w:val="single"/>
    </w:rPr>
  </w:style>
  <w:style w:type="paragraph" w:styleId="24">
    <w:name w:val="List Paragraph"/>
    <w:basedOn w:val="0"/>
    <w:pPr>
      <w:ind w:firstLineChars="200" w:firstLine="200"/>
    </w:pPr>
  </w:style>
  <w:style w:type="paragraph" w:customStyle="1" w:styleId="25">
    <w:name w:val="Default"/>
    <w:pPr>
      <w:widowControl w:val="0"/>
      <w:autoSpaceDE w:val="0"/>
      <w:autoSpaceDN w:val="0"/>
      <w:adjustRightInd w:val="0"/>
    </w:pPr>
    <w:rPr>
      <w:rFonts w:ascii="仿宋"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char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1</a:t>
            </a:r>
            <a:r>
              <a:rPr lang="zh-CN" sz="1400" b="0" i="0" u="none" strike="noStrike" baseline="0">
                <a:solidFill>
                  <a:srgbClr val="595959"/>
                </a:solidFill>
                <a:latin typeface="Times New Roman"/>
                <a:ea typeface="宋体"/>
                <a:cs typeface="Arial"/>
              </a:rPr>
              <a:t>：支出图</a:t>
            </a:r>
          </a:p>
        </c:rich>
      </c:tx>
      <c:layout/>
      <c:overlay val="0"/>
      <c:spPr>
        <a:noFill/>
        <a:ln>
          <a:noFill/>
        </a:ln>
      </c:spPr>
    </c:title>
    <c:autoTitleDeleted val="1"/>
    <c:plotArea>
      <c:layout/>
      <c:barChart>
        <c:barDir val="col"/>
        <c:grouping val="clustered"/>
        <c:varyColors val="0"/>
        <c:ser>
          <c:idx val="0"/>
          <c:order val="0"/>
          <c:tx>
            <c:strRef>
              <c:f>'Sheet1'!$B$1</c:f>
              <c:strCache>
                <c:ptCount val="1"/>
                <c:pt idx="0">
                  <c:v>系列 1</c:v>
                </c:pt>
              </c:strCache>
            </c:strRef>
          </c:tx>
          <c:spPr>
            <a:solidFill>
              <a:srgbClr val="5B9BD5"/>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'Sheet1'!$A$2:$A$3</c:f>
              <c:strCache>
                <c:ptCount val="2"/>
                <c:pt idx="0">
                  <c:v>类别 1</c:v>
                </c:pt>
                <c:pt idx="1">
                  <c:v>类别 2</c:v>
                </c:pt>
              </c:strCache>
            </c:strRef>
          </c:cat>
          <c:val>
            <c:numRef>
              <c:f>'Sheet1'!$B$2:$B$3</c:f>
              <c:numCache>
                <c:formatCode>General</c:formatCode>
                <c:ptCount val="2"/>
                <c:pt idx="0">
                  <c:v>2019.0</c:v>
                </c:pt>
                <c:pt idx="1">
                  <c:v>2020.0</c:v>
                </c:pt>
              </c:numCache>
            </c:numRef>
          </c:val>
        </c:ser>
        <c:ser>
          <c:idx val="1"/>
          <c:order val="1"/>
          <c:tx>
            <c:strRef>
              <c:f>'Sheet1'!$C$1</c:f>
              <c:strCache>
                <c:ptCount val="1"/>
                <c:pt idx="0">
                  <c:v>系列 2</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'Sheet1'!$A$2:$A$3</c:f>
              <c:strCache>
                <c:ptCount val="2"/>
                <c:pt idx="0">
                  <c:v>类别 1</c:v>
                </c:pt>
                <c:pt idx="1">
                  <c:v>类别 2</c:v>
                </c:pt>
              </c:strCache>
            </c:strRef>
          </c:cat>
          <c:val>
            <c:numRef>
              <c:f>'Sheet1'!$C$2:$C$3</c:f>
              <c:numCache>
                <c:formatCode>General</c:formatCode>
                <c:ptCount val="2"/>
                <c:pt idx="0">
                  <c:v>27.58</c:v>
                </c:pt>
                <c:pt idx="1">
                  <c:v>27.47</c:v>
                </c:pt>
              </c:numCache>
            </c:numRef>
          </c:val>
        </c:ser>
        <c:gapWidth val="150"/>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lstStyle/>
              <a:p>
                <a:pPr>
                  <a:defRPr sz="1000" b="0" i="0" u="none" strike="noStrike" baseline="0">
                    <a:solidFill>
                      <a:srgbClr val="595959"/>
                    </a:solidFill>
                    <a:latin typeface="Times New Roman"/>
                    <a:ea typeface="宋体"/>
                    <a:cs typeface="Arial"/>
                  </a:defRPr>
                </a:pPr>
                <a:r>
                  <a:rPr lang="zh-CN"/>
                  <a:t>坐标轴标题</a:t>
                </a:r>
              </a:p>
            </c:rich>
          </c:tx>
          <c:layout/>
          <c:overlay val="0"/>
          <c:spPr>
            <a:noFill/>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Arial"/>
              </a:defRPr>
            </a:pPr>
            <a:endParaRPr lang="zh-CN"/>
          </a:p>
        </c:txPr>
        <c:crossesAt val="1.0"/>
        <c:crossBetween val="between"/>
        <c:crossAx val="0"/>
      </c:valAx>
      <c:dTable>
        <c:showHorzBorder val="1"/>
        <c:showVertBorder val="1"/>
        <c:showOutline val="1"/>
        <c:showKeys val="1"/>
        <c:spPr>
          <a:ln w="6350">
            <a:solidFill>
              <a:srgbClr val="D9D9D9"/>
            </a:solidFill>
            <a:prstDash val="solid"/>
          </a:ln>
        </c:spPr>
        <c:txPr>
          <a:bodyPr/>
          <a:lstStyle/>
          <a:p>
            <a:pPr rtl="0">
              <a:defRPr sz="900" b="0" i="0" u="none" strike="noStrike" baseline="0">
                <a:solidFill>
                  <a:srgbClr val="595959"/>
                </a:solidFill>
                <a:latin typeface="Times New Roman"/>
                <a:ea typeface="宋体"/>
                <a:cs typeface="Arial"/>
              </a:defRPr>
            </a:pPr>
            <a:endParaRPr lang="zh-CN"/>
          </a:p>
        </c:txPr>
      </c:dTable>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1</a:t>
            </a:r>
            <a:r>
              <a:rPr lang="zh-CN" sz="1400" b="0" i="0" u="none" strike="noStrike" baseline="0">
                <a:solidFill>
                  <a:srgbClr val="595959"/>
                </a:solidFill>
                <a:latin typeface="Times New Roman"/>
                <a:ea typeface="宋体"/>
                <a:cs typeface="Arial"/>
              </a:rPr>
              <a:t>：收入图</a:t>
            </a:r>
          </a:p>
        </c:rich>
      </c:tx>
      <c:layout/>
      <c:overlay val="0"/>
      <c:spPr>
        <a:noFill/>
        <a:ln>
          <a:noFill/>
        </a:ln>
      </c:spPr>
    </c:title>
    <c:autoTitleDeleted val="1"/>
    <c:plotArea>
      <c:layout/>
      <c:barChart>
        <c:barDir val="col"/>
        <c:grouping val="clustered"/>
        <c:varyColors val="0"/>
        <c:ser>
          <c:idx val="0"/>
          <c:order val="0"/>
          <c:tx>
            <c:strRef>
              <c:f>'Sheet1 (2)'!$B$1</c:f>
              <c:strCache>
                <c:ptCount val="1"/>
                <c:pt idx="0">
                  <c:v>系列 1</c:v>
                </c:pt>
              </c:strCache>
            </c:strRef>
          </c:tx>
          <c:spPr>
            <a:solidFill>
              <a:srgbClr val="5B9BD5"/>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(2)'!$A$2:$A$3</c:f>
              <c:strCache>
                <c:ptCount val="2"/>
                <c:pt idx="0">
                  <c:v>类别 1</c:v>
                </c:pt>
                <c:pt idx="1">
                  <c:v>类别 2</c:v>
                </c:pt>
              </c:strCache>
            </c:strRef>
          </c:cat>
          <c:val>
            <c:numRef>
              <c:f>'Sheet1 (2)'!$B$2:$B$3</c:f>
              <c:numCache>
                <c:formatCode>General</c:formatCode>
                <c:ptCount val="2"/>
                <c:pt idx="0">
                  <c:v>2019.0</c:v>
                </c:pt>
                <c:pt idx="1">
                  <c:v>2020.0</c:v>
                </c:pt>
              </c:numCache>
            </c:numRef>
          </c:val>
        </c:ser>
        <c:ser>
          <c:idx val="1"/>
          <c:order val="1"/>
          <c:tx>
            <c:strRef>
              <c:f>'Sheet1 (2)'!$C$1</c:f>
              <c:strCache>
                <c:ptCount val="1"/>
                <c:pt idx="0">
                  <c:v>系列 2</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(2)'!$A$2:$A$3</c:f>
              <c:strCache>
                <c:ptCount val="2"/>
                <c:pt idx="0">
                  <c:v>类别 1</c:v>
                </c:pt>
                <c:pt idx="1">
                  <c:v>类别 2</c:v>
                </c:pt>
              </c:strCache>
            </c:strRef>
          </c:cat>
          <c:val>
            <c:numRef>
              <c:f>'Sheet1 (2)'!$C$2:$C$3</c:f>
              <c:numCache>
                <c:formatCode>General</c:formatCode>
                <c:ptCount val="2"/>
                <c:pt idx="0">
                  <c:v>27.58</c:v>
                </c:pt>
                <c:pt idx="1">
                  <c:v>27.47</c:v>
                </c:pt>
              </c:numCache>
            </c:numRef>
          </c:val>
        </c:ser>
        <c:gapWidth val="150"/>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lstStyle/>
              <a:p>
                <a:pPr>
                  <a:defRPr sz="1000" b="0" i="0" u="none" strike="noStrike" baseline="0">
                    <a:solidFill>
                      <a:srgbClr val="595959"/>
                    </a:solidFill>
                    <a:latin typeface="Times New Roman"/>
                    <a:ea typeface="宋体"/>
                    <a:cs typeface="Arial"/>
                  </a:defRPr>
                </a:pPr>
                <a:r>
                  <a:rPr lang="zh-CN"/>
                  <a:t>坐标轴标题</a:t>
                </a:r>
              </a:p>
            </c:rich>
          </c:tx>
          <c:layout/>
          <c:overlay val="0"/>
          <c:spPr>
            <a:noFill/>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Arial"/>
              </a:defRPr>
            </a:pPr>
            <a:endParaRPr lang="zh-CN"/>
          </a:p>
        </c:txPr>
        <c:crossesAt val="1.0"/>
        <c:crossBetween val="between"/>
        <c:crossAx val="0"/>
      </c:valAx>
      <c:dTable>
        <c:showHorzBorder val="1"/>
        <c:showVertBorder val="1"/>
        <c:showOutline val="1"/>
        <c:showKeys val="1"/>
        <c:spPr>
          <a:ln w="6350">
            <a:solidFill>
              <a:srgbClr val="D9D9D9"/>
            </a:solidFill>
            <a:prstDash val="solid"/>
          </a:ln>
        </c:spPr>
        <c:txPr>
          <a:bodyPr/>
          <a:lstStyle/>
          <a:p>
            <a:pPr rtl="0">
              <a:defRPr sz="900" b="0" i="0" u="none" strike="noStrike" baseline="0">
                <a:solidFill>
                  <a:srgbClr val="595959"/>
                </a:solidFill>
                <a:latin typeface="Times New Roman"/>
                <a:ea typeface="宋体"/>
                <a:cs typeface="Arial"/>
              </a:defRPr>
            </a:pPr>
            <a:endParaRPr lang="zh-CN"/>
          </a:p>
        </c:txPr>
      </c:dTable>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2</a:t>
            </a:r>
          </a:p>
        </c:rich>
      </c:tx>
      <c:layout/>
      <c:overlay val="0"/>
      <c:spPr>
        <a:noFill/>
        <a:ln>
          <a:noFill/>
        </a:ln>
      </c:spPr>
    </c:title>
    <c:autoTitleDeleted val="1"/>
    <c:plotArea>
      <c:layout/>
      <c:pieChart>
        <c:varyColors val="1"/>
        <c:ser>
          <c:idx val="0"/>
          <c:order val="0"/>
          <c:tx>
            <c:strRef>
              <c:f>'Sheet1 (3)'!$B$1</c:f>
              <c:strCache>
                <c:ptCount val="1"/>
                <c:pt idx="0">
                  <c:v>销售额</c:v>
                </c:pt>
              </c:strCache>
            </c:strRef>
          </c:tx>
          <c:spPr>
            <a:solidFill>
              <a:srgbClr val="4F81BD"/>
            </a:solidFill>
          </c:spPr>
          <c:dPt>
            <c:idx val="0"/>
            <c:bubble3D val="0"/>
            <c:spPr>
              <a:solidFill>
                <a:srgbClr val="5B9BD5"/>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0%" sourceLinked="0"/>
            <c:dLblPos val="inEnd"/>
            <c:showLegendKey val="0"/>
            <c:showVal val="0"/>
            <c:showCatName val="0"/>
            <c:showSerName val="0"/>
            <c:showPercent val="1"/>
            <c:showBubbleSize val="0"/>
            <c:showLeaderLines val="1"/>
          </c:dLbls>
          <c:cat>
            <c:numRef>
              <c:f>'Sheet1 (3)'!$A$2:$A$5</c:f>
              <c:numCache>
                <c:ptCount val="4"/>
                <c:pt idx="0">
                  <c:v>1</c:v>
                </c:pt>
                <c:pt idx="1">
                  <c:v>2</c:v>
                </c:pt>
                <c:pt idx="2">
                  <c:v>3</c:v>
                </c:pt>
                <c:pt idx="3">
                  <c:v>4</c:v>
                </c:pt>
              </c:numCache>
            </c:numRef>
          </c:cat>
          <c:val>
            <c:numRef>
              <c:f>'Sheet1 (3)'!$B$2:$B$5</c:f>
              <c:numCache>
                <c:formatCode>General</c:formatCode>
                <c:ptCount val="4"/>
                <c:pt idx="0">
                  <c:v>27.47</c:v>
                </c:pt>
                <c:pt idx="1">
                  <c:v>0.0</c:v>
                </c:pt>
                <c:pt idx="2">
                  <c:v>0.0</c:v>
                </c:pt>
                <c:pt idx="3">
                  <c:v>0.0</c:v>
                </c:pt>
              </c:numCache>
            </c:numRef>
          </c:val>
        </c:ser>
        <c:firstSliceAng val="0"/>
      </c:pieChart>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Arial"/>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3</a:t>
            </a:r>
          </a:p>
        </c:rich>
      </c:tx>
      <c:layout/>
      <c:overlay val="0"/>
      <c:spPr>
        <a:noFill/>
        <a:ln>
          <a:noFill/>
        </a:ln>
      </c:spPr>
    </c:title>
    <c:autoTitleDeleted val="1"/>
    <c:plotArea>
      <c:layout/>
      <c:pieChart>
        <c:varyColors val="1"/>
        <c:ser>
          <c:idx val="0"/>
          <c:order val="0"/>
          <c:tx>
            <c:strRef>
              <c:f>'Sheet1 (4)'!$B$1</c:f>
              <c:strCache>
                <c:ptCount val="1"/>
                <c:pt idx="0">
                  <c:v>销售额</c:v>
                </c:pt>
              </c:strCache>
            </c:strRef>
          </c:tx>
          <c:spPr>
            <a:solidFill>
              <a:srgbClr val="4F81BD"/>
            </a:solidFill>
          </c:spPr>
          <c:dPt>
            <c:idx val="0"/>
            <c:bubble3D val="0"/>
            <c:spPr>
              <a:solidFill>
                <a:srgbClr val="5B9BD5"/>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0%" sourceLinked="0"/>
            <c:dLblPos val="inEnd"/>
            <c:showLegendKey val="0"/>
            <c:showVal val="0"/>
            <c:showCatName val="0"/>
            <c:showSerName val="0"/>
            <c:showPercent val="1"/>
            <c:showBubbleSize val="0"/>
            <c:showLeaderLines val="1"/>
          </c:dLbls>
          <c:cat>
            <c:numRef>
              <c:f>'Sheet1 (4)'!$A$2:$A$5</c:f>
              <c:numCache>
                <c:ptCount val="4"/>
                <c:pt idx="0">
                  <c:v>1</c:v>
                </c:pt>
                <c:pt idx="1">
                  <c:v>2</c:v>
                </c:pt>
                <c:pt idx="2">
                  <c:v>3</c:v>
                </c:pt>
                <c:pt idx="3">
                  <c:v>4</c:v>
                </c:pt>
              </c:numCache>
            </c:numRef>
          </c:cat>
          <c:val>
            <c:numRef>
              <c:f>'Sheet1 (4)'!$B$2:$B$5</c:f>
              <c:numCache>
                <c:formatCode>General</c:formatCode>
                <c:ptCount val="4"/>
                <c:pt idx="0">
                  <c:v>27.47</c:v>
                </c:pt>
                <c:pt idx="1">
                  <c:v>0.0</c:v>
                </c:pt>
                <c:pt idx="2">
                  <c:v>0.0</c:v>
                </c:pt>
                <c:pt idx="3">
                  <c:v>0.0</c:v>
                </c:pt>
              </c:numCache>
            </c:numRef>
          </c:val>
        </c:ser>
        <c:firstSliceAng val="0"/>
      </c:pieChart>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Arial"/>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4</a:t>
            </a:r>
            <a:r>
              <a:rPr lang="zh-CN" sz="1400" b="0" i="0" u="none" strike="noStrike" baseline="0">
                <a:solidFill>
                  <a:srgbClr val="595959"/>
                </a:solidFill>
                <a:latin typeface="Times New Roman"/>
                <a:ea typeface="宋体"/>
                <a:cs typeface="Arial"/>
              </a:rPr>
              <a:t>：收入图</a:t>
            </a:r>
          </a:p>
        </c:rich>
      </c:tx>
      <c:layout/>
      <c:overlay val="0"/>
      <c:spPr>
        <a:noFill/>
        <a:ln>
          <a:noFill/>
        </a:ln>
      </c:spPr>
    </c:title>
    <c:autoTitleDeleted val="1"/>
    <c:plotArea>
      <c:layout/>
      <c:barChart>
        <c:barDir val="col"/>
        <c:grouping val="clustered"/>
        <c:varyColors val="0"/>
        <c:ser>
          <c:idx val="0"/>
          <c:order val="0"/>
          <c:tx>
            <c:strRef>
              <c:f>'Sheet1 (5)'!$B$1</c:f>
              <c:strCache>
                <c:ptCount val="1"/>
                <c:pt idx="0">
                  <c:v>系列 1</c:v>
                </c:pt>
              </c:strCache>
            </c:strRef>
          </c:tx>
          <c:spPr>
            <a:solidFill>
              <a:srgbClr val="5B9BD5"/>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(5)'!$A$2:$A$3</c:f>
              <c:strCache>
                <c:ptCount val="2"/>
                <c:pt idx="0">
                  <c:v>类别 1</c:v>
                </c:pt>
                <c:pt idx="1">
                  <c:v>类别 2</c:v>
                </c:pt>
              </c:strCache>
            </c:strRef>
          </c:cat>
          <c:val>
            <c:numRef>
              <c:f>'Sheet1 (5)'!$B$2:$B$3</c:f>
              <c:numCache>
                <c:formatCode>General</c:formatCode>
                <c:ptCount val="2"/>
                <c:pt idx="0">
                  <c:v>2019.0</c:v>
                </c:pt>
                <c:pt idx="1">
                  <c:v>2020.0</c:v>
                </c:pt>
              </c:numCache>
            </c:numRef>
          </c:val>
        </c:ser>
        <c:ser>
          <c:idx val="1"/>
          <c:order val="1"/>
          <c:tx>
            <c:strRef>
              <c:f>'Sheet1 (5)'!$C$1</c:f>
              <c:strCache>
                <c:ptCount val="1"/>
                <c:pt idx="0">
                  <c:v>系列 2</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(5)'!$A$2:$A$3</c:f>
              <c:strCache>
                <c:ptCount val="2"/>
                <c:pt idx="0">
                  <c:v>类别 1</c:v>
                </c:pt>
                <c:pt idx="1">
                  <c:v>类别 2</c:v>
                </c:pt>
              </c:strCache>
            </c:strRef>
          </c:cat>
          <c:val>
            <c:numRef>
              <c:f>'Sheet1 (5)'!$C$2:$C$3</c:f>
              <c:numCache>
                <c:formatCode>General</c:formatCode>
                <c:ptCount val="2"/>
                <c:pt idx="0">
                  <c:v>27.58</c:v>
                </c:pt>
                <c:pt idx="1">
                  <c:v>27.47</c:v>
                </c:pt>
              </c:numCache>
            </c:numRef>
          </c:val>
        </c:ser>
        <c:gapWidth val="150"/>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lstStyle/>
              <a:p>
                <a:pPr>
                  <a:defRPr sz="1000" b="0" i="0" u="none" strike="noStrike" baseline="0">
                    <a:solidFill>
                      <a:srgbClr val="595959"/>
                    </a:solidFill>
                    <a:latin typeface="Times New Roman"/>
                    <a:ea typeface="宋体"/>
                    <a:cs typeface="Arial"/>
                  </a:defRPr>
                </a:pPr>
                <a:r>
                  <a:rPr lang="zh-CN"/>
                  <a:t>坐标轴标题</a:t>
                </a:r>
              </a:p>
            </c:rich>
          </c:tx>
          <c:layout/>
          <c:overlay val="0"/>
          <c:spPr>
            <a:noFill/>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Arial"/>
              </a:defRPr>
            </a:pPr>
            <a:endParaRPr lang="zh-CN"/>
          </a:p>
        </c:txPr>
        <c:crossesAt val="1.0"/>
        <c:crossBetween val="between"/>
        <c:crossAx val="0"/>
      </c:valAx>
      <c:dTable>
        <c:showHorzBorder val="1"/>
        <c:showVertBorder val="1"/>
        <c:showOutline val="1"/>
        <c:showKeys val="1"/>
        <c:spPr>
          <a:ln w="6350">
            <a:solidFill>
              <a:srgbClr val="D9D9D9"/>
            </a:solidFill>
            <a:prstDash val="solid"/>
          </a:ln>
        </c:spPr>
        <c:txPr>
          <a:bodyPr/>
          <a:lstStyle/>
          <a:p>
            <a:pPr rtl="0">
              <a:defRPr sz="900" b="0" i="0" u="none" strike="noStrike" baseline="0">
                <a:solidFill>
                  <a:srgbClr val="595959"/>
                </a:solidFill>
                <a:latin typeface="Times New Roman"/>
                <a:ea typeface="宋体"/>
                <a:cs typeface="Arial"/>
              </a:defRPr>
            </a:pPr>
            <a:endParaRPr lang="zh-CN"/>
          </a:p>
        </c:txPr>
      </c:dTable>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4</a:t>
            </a:r>
            <a:r>
              <a:rPr lang="zh-CN" sz="1400" b="0" i="0" u="none" strike="noStrike" baseline="0">
                <a:solidFill>
                  <a:srgbClr val="595959"/>
                </a:solidFill>
                <a:latin typeface="Times New Roman"/>
                <a:ea typeface="宋体"/>
                <a:cs typeface="Arial"/>
              </a:rPr>
              <a:t>：支出图</a:t>
            </a:r>
          </a:p>
        </c:rich>
      </c:tx>
      <c:layout/>
      <c:overlay val="0"/>
      <c:spPr>
        <a:noFill/>
        <a:ln>
          <a:noFill/>
        </a:ln>
      </c:spPr>
    </c:title>
    <c:autoTitleDeleted val="1"/>
    <c:plotArea>
      <c:layout/>
      <c:barChart>
        <c:barDir val="col"/>
        <c:grouping val="clustered"/>
        <c:varyColors val="0"/>
        <c:ser>
          <c:idx val="0"/>
          <c:order val="0"/>
          <c:tx>
            <c:strRef>
              <c:f>'Sheet1 (6)'!$B$1</c:f>
              <c:strCache>
                <c:ptCount val="1"/>
                <c:pt idx="0">
                  <c:v>系列 1</c:v>
                </c:pt>
              </c:strCache>
            </c:strRef>
          </c:tx>
          <c:spPr>
            <a:solidFill>
              <a:srgbClr val="5B9BD5"/>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(6)'!$A$2:$A$3</c:f>
              <c:strCache>
                <c:ptCount val="2"/>
                <c:pt idx="0">
                  <c:v>类别 1</c:v>
                </c:pt>
                <c:pt idx="1">
                  <c:v>类别 2</c:v>
                </c:pt>
              </c:strCache>
            </c:strRef>
          </c:cat>
          <c:val>
            <c:numRef>
              <c:f>'Sheet1 (6)'!$B$2:$B$3</c:f>
              <c:numCache>
                <c:formatCode>General</c:formatCode>
                <c:ptCount val="2"/>
                <c:pt idx="0">
                  <c:v>2019.0</c:v>
                </c:pt>
                <c:pt idx="1">
                  <c:v>2020.0</c:v>
                </c:pt>
              </c:numCache>
            </c:numRef>
          </c:val>
        </c:ser>
        <c:ser>
          <c:idx val="1"/>
          <c:order val="1"/>
          <c:tx>
            <c:strRef>
              <c:f>'Sheet1 (6)'!$C$1</c:f>
              <c:strCache>
                <c:ptCount val="1"/>
                <c:pt idx="0">
                  <c:v>系列 2</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(6)'!$A$2:$A$3</c:f>
              <c:strCache>
                <c:ptCount val="2"/>
                <c:pt idx="0">
                  <c:v>类别 1</c:v>
                </c:pt>
                <c:pt idx="1">
                  <c:v>类别 2</c:v>
                </c:pt>
              </c:strCache>
            </c:strRef>
          </c:cat>
          <c:val>
            <c:numRef>
              <c:f>'Sheet1 (6)'!$C$2:$C$3</c:f>
              <c:numCache>
                <c:formatCode>General</c:formatCode>
                <c:ptCount val="2"/>
                <c:pt idx="0">
                  <c:v>27.58</c:v>
                </c:pt>
                <c:pt idx="1">
                  <c:v>27.47</c:v>
                </c:pt>
              </c:numCache>
            </c:numRef>
          </c:val>
        </c:ser>
        <c:gapWidth val="150"/>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lstStyle/>
              <a:p>
                <a:pPr>
                  <a:defRPr sz="1000" b="0" i="0" u="none" strike="noStrike" baseline="0">
                    <a:solidFill>
                      <a:srgbClr val="595959"/>
                    </a:solidFill>
                    <a:latin typeface="Times New Roman"/>
                    <a:ea typeface="宋体"/>
                    <a:cs typeface="Arial"/>
                  </a:defRPr>
                </a:pPr>
                <a:r>
                  <a:rPr lang="zh-CN"/>
                  <a:t>坐标轴标题</a:t>
                </a:r>
              </a:p>
            </c:rich>
          </c:tx>
          <c:layout/>
          <c:overlay val="0"/>
          <c:spPr>
            <a:noFill/>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Arial"/>
              </a:defRPr>
            </a:pPr>
            <a:endParaRPr lang="zh-CN"/>
          </a:p>
        </c:txPr>
        <c:crossesAt val="1.0"/>
        <c:crossBetween val="between"/>
        <c:crossAx val="0"/>
      </c:valAx>
      <c:dTable>
        <c:showHorzBorder val="1"/>
        <c:showVertBorder val="1"/>
        <c:showOutline val="1"/>
        <c:showKeys val="1"/>
        <c:spPr>
          <a:ln w="6350">
            <a:solidFill>
              <a:srgbClr val="D9D9D9"/>
            </a:solidFill>
            <a:prstDash val="solid"/>
          </a:ln>
        </c:spPr>
        <c:txPr>
          <a:bodyPr/>
          <a:lstStyle/>
          <a:p>
            <a:pPr rtl="0">
              <a:defRPr sz="900" b="0" i="0" u="none" strike="noStrike" baseline="0">
                <a:solidFill>
                  <a:srgbClr val="595959"/>
                </a:solidFill>
                <a:latin typeface="Times New Roman"/>
                <a:ea typeface="宋体"/>
                <a:cs typeface="Arial"/>
              </a:defRPr>
            </a:pPr>
            <a:endParaRPr lang="zh-CN"/>
          </a:p>
        </c:txPr>
      </c:dTable>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5</a:t>
            </a:r>
          </a:p>
        </c:rich>
      </c:tx>
      <c:layout/>
      <c:overlay val="0"/>
      <c:spPr>
        <a:noFill/>
        <a:ln>
          <a:noFill/>
        </a:ln>
      </c:spPr>
    </c:title>
    <c:autoTitleDeleted val="1"/>
    <c:plotArea>
      <c:layout/>
      <c:barChart>
        <c:barDir val="col"/>
        <c:grouping val="clustered"/>
        <c:varyColors val="0"/>
        <c:ser>
          <c:idx val="0"/>
          <c:order val="0"/>
          <c:tx>
            <c:strRef>
              <c:f>'Sheet1 (7)'!$B$1</c:f>
              <c:strCache>
                <c:ptCount val="1"/>
                <c:pt idx="0">
                  <c:v>系列 1</c:v>
                </c:pt>
              </c:strCache>
            </c:strRef>
          </c:tx>
          <c:spPr>
            <a:solidFill>
              <a:srgbClr val="5B9BD5"/>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(7)'!$A$2:$A$3</c:f>
              <c:strCache>
                <c:ptCount val="2"/>
                <c:pt idx="0">
                  <c:v>类别 1</c:v>
                </c:pt>
                <c:pt idx="1">
                  <c:v>类别 2</c:v>
                </c:pt>
              </c:strCache>
            </c:strRef>
          </c:cat>
          <c:val>
            <c:numRef>
              <c:f>'Sheet1 (7)'!$B$2:$B$3</c:f>
              <c:numCache>
                <c:formatCode>General</c:formatCode>
                <c:ptCount val="2"/>
                <c:pt idx="0">
                  <c:v>2019.0</c:v>
                </c:pt>
                <c:pt idx="1">
                  <c:v>2020.0</c:v>
                </c:pt>
              </c:numCache>
            </c:numRef>
          </c:val>
        </c:ser>
        <c:ser>
          <c:idx val="1"/>
          <c:order val="1"/>
          <c:tx>
            <c:strRef>
              <c:f>'Sheet1 (7)'!$C$1</c:f>
              <c:strCache>
                <c:ptCount val="1"/>
                <c:pt idx="0">
                  <c:v>系列 2</c:v>
                </c:pt>
              </c:strCache>
            </c:strRef>
          </c:tx>
          <c:spPr>
            <a:solidFill>
              <a:srgbClr val="ED7D31"/>
            </a:solidFill>
            <a:ln>
              <a:noFill/>
            </a:ln>
          </c:spPr>
          <c:invertIfNegative val="0"/>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Ref>
              <c:f>'Sheet1 (7)'!$A$2:$A$3</c:f>
              <c:strCache>
                <c:ptCount val="2"/>
                <c:pt idx="0">
                  <c:v>类别 1</c:v>
                </c:pt>
                <c:pt idx="1">
                  <c:v>类别 2</c:v>
                </c:pt>
              </c:strCache>
            </c:strRef>
          </c:cat>
          <c:val>
            <c:numRef>
              <c:f>'Sheet1 (7)'!$C$2:$C$3</c:f>
              <c:numCache>
                <c:formatCode>General</c:formatCode>
                <c:ptCount val="2"/>
                <c:pt idx="0">
                  <c:v>27.58</c:v>
                </c:pt>
                <c:pt idx="1">
                  <c:v>27.47</c:v>
                </c:pt>
              </c:numCache>
            </c:numRef>
          </c:val>
        </c:ser>
        <c:gapWidth val="150"/>
        <c:axId val="0"/>
        <c:axId val="1"/>
      </c:barChart>
      <c:catAx>
        <c:axId val="0"/>
        <c:scaling>
          <c:orientation val="minMax"/>
        </c:scaling>
        <c:delete val="0"/>
        <c:axPos val="b"/>
        <c:numFmt formatCode="General" sourceLinked="1"/>
        <c:majorTickMark val="none"/>
        <c:minorTickMark val="none"/>
        <c:tickLblPos val="nextTo"/>
        <c:spPr>
          <a:ln w="6350">
            <a:solidFill>
              <a:srgbClr val="D9D9D9"/>
            </a:solidFill>
            <a:prstDash val="solid"/>
          </a:ln>
        </c:spPr>
        <c:txPr>
          <a:bodyPr/>
          <a:lstStyle/>
          <a:p>
            <a:pPr>
              <a:defRPr sz="900" b="0" i="0" u="none" strike="noStrike" baseline="0">
                <a:solidFill>
                  <a:srgbClr val="595959"/>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lstStyle/>
              <a:p>
                <a:pPr>
                  <a:defRPr sz="1000" b="0" i="0" u="none" strike="noStrike" baseline="0">
                    <a:solidFill>
                      <a:srgbClr val="595959"/>
                    </a:solidFill>
                    <a:latin typeface="Times New Roman"/>
                    <a:ea typeface="宋体"/>
                    <a:cs typeface="Arial"/>
                  </a:defRPr>
                </a:pPr>
                <a:r>
                  <a:rPr lang="zh-CN"/>
                  <a:t>坐标轴标题</a:t>
                </a:r>
              </a:p>
            </c:rich>
          </c:tx>
          <c:layout/>
          <c:overlay val="0"/>
          <c:spPr>
            <a:noFill/>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Arial"/>
              </a:defRPr>
            </a:pPr>
            <a:endParaRPr lang="zh-CN"/>
          </a:p>
        </c:txPr>
        <c:crossesAt val="1.0"/>
        <c:crossBetween val="between"/>
        <c:crossAx val="0"/>
      </c:valAx>
      <c:dTable>
        <c:showHorzBorder val="1"/>
        <c:showVertBorder val="1"/>
        <c:showOutline val="1"/>
        <c:showKeys val="1"/>
        <c:spPr>
          <a:ln w="6350">
            <a:solidFill>
              <a:srgbClr val="D9D9D9"/>
            </a:solidFill>
            <a:prstDash val="solid"/>
          </a:ln>
        </c:spPr>
        <c:txPr>
          <a:bodyPr/>
          <a:lstStyle/>
          <a:p>
            <a:pPr rtl="0">
              <a:defRPr sz="900" b="0" i="0" u="none" strike="noStrike" baseline="0">
                <a:solidFill>
                  <a:srgbClr val="595959"/>
                </a:solidFill>
                <a:latin typeface="Times New Roman"/>
                <a:ea typeface="宋体"/>
                <a:cs typeface="Arial"/>
              </a:defRPr>
            </a:pPr>
            <a:endParaRPr lang="zh-CN"/>
          </a:p>
        </c:txPr>
      </c:dTable>
      <c:spPr>
        <a:noFill/>
        <a:ln>
          <a:noFill/>
        </a:ln>
      </c:spPr>
    </c:plotArea>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Arial"/>
              </a:defRPr>
            </a:pPr>
            <a:r>
              <a:rPr lang="zh-CN" sz="1400" b="0" i="0" u="none" strike="noStrike" baseline="0">
                <a:solidFill>
                  <a:srgbClr val="595959"/>
                </a:solidFill>
                <a:latin typeface="Times New Roman"/>
                <a:ea typeface="宋体"/>
                <a:cs typeface="Arial"/>
              </a:rPr>
              <a:t>图</a:t>
            </a:r>
            <a:r>
              <a:rPr lang="zh-CN" sz="1400" b="0" i="0" u="none" strike="noStrike" baseline="0">
                <a:solidFill>
                  <a:srgbClr val="595959"/>
                </a:solidFill>
                <a:latin typeface="Times New Roman"/>
                <a:ea typeface="宋体"/>
                <a:cs typeface="Arial"/>
              </a:rPr>
              <a:t>6</a:t>
            </a:r>
          </a:p>
        </c:rich>
      </c:tx>
      <c:layout>
        <c:manualLayout>
          <c:xMode val="edge"/>
          <c:yMode val="edge"/>
          <c:x val="0.397295"/>
          <c:y val="0.09989429"/>
        </c:manualLayout>
      </c:layout>
      <c:overlay val="0"/>
      <c:spPr>
        <a:noFill/>
        <a:ln>
          <a:noFill/>
        </a:ln>
      </c:spPr>
    </c:title>
    <c:autoTitleDeleted val="1"/>
    <c:plotArea>
      <c:layout/>
      <c:pieChart>
        <c:varyColors val="1"/>
        <c:ser>
          <c:idx val="0"/>
          <c:order val="0"/>
          <c:tx>
            <c:strRef>
              <c:f>'Sheet1 (8)'!$B$1</c:f>
              <c:strCache>
                <c:ptCount val="1"/>
                <c:pt idx="0">
                  <c:v>销售额</c:v>
                </c:pt>
              </c:strCache>
            </c:strRef>
          </c:tx>
          <c:spPr>
            <a:solidFill>
              <a:srgbClr val="4F81BD"/>
            </a:solidFill>
          </c:spPr>
          <c:dPt>
            <c:idx val="0"/>
            <c:bubble3D val="0"/>
            <c:spPr>
              <a:solidFill>
                <a:srgbClr val="5B9BD5"/>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4472C4"/>
              </a:solidFill>
              <a:ln w="19050">
                <a:solidFill>
                  <a:srgbClr val="FFFFFF"/>
                </a:solidFill>
                <a:prstDash val="solid"/>
              </a:ln>
            </c:spPr>
          </c:dPt>
          <c:dPt>
            <c:idx val="5"/>
            <c:bubble3D val="0"/>
            <c:spPr>
              <a:solidFill>
                <a:srgbClr val="70AD47"/>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1"/>
          </c:dLbls>
          <c:cat>
            <c:numRef>
              <c:f>'Sheet1 (8)'!$A$2:$A$7</c:f>
              <c:numCache>
                <c:ptCount val="6"/>
                <c:pt idx="0">
                  <c:v>1</c:v>
                </c:pt>
                <c:pt idx="1">
                  <c:v>2</c:v>
                </c:pt>
                <c:pt idx="2">
                  <c:v>3</c:v>
                </c:pt>
                <c:pt idx="3">
                  <c:v>4</c:v>
                </c:pt>
                <c:pt idx="4">
                  <c:v>5</c:v>
                </c:pt>
                <c:pt idx="5">
                  <c:v>6</c:v>
                </c:pt>
              </c:numCache>
            </c:numRef>
          </c:cat>
          <c:val>
            <c:numRef>
              <c:f>'Sheet1 (8)'!$B$2:$B$7</c:f>
              <c:numCache>
                <c:formatCode>General</c:formatCode>
                <c:ptCount val="6"/>
                <c:pt idx="0">
                  <c:v>19.41</c:v>
                </c:pt>
                <c:pt idx="1">
                  <c:v>0.0</c:v>
                </c:pt>
                <c:pt idx="2">
                  <c:v>1.85</c:v>
                </c:pt>
                <c:pt idx="3">
                  <c:v>0.0</c:v>
                </c:pt>
                <c:pt idx="4">
                  <c:v>3.77</c:v>
                </c:pt>
                <c:pt idx="5">
                  <c:v>2.44</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Arial"/>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8</TotalTime>
  <Application>Yozo_Office27021597764231179</Application>
  <Pages>26</Pages>
  <Words>10148</Words>
  <Characters>10987</Characters>
  <Lines>620</Lines>
  <Paragraphs>227</Paragraphs>
  <CharactersWithSpaces>11057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cp:lastPrinted>2021-09-15T02:30:24Z</cp:lastPrinted>
  <dcterms:created xsi:type="dcterms:W3CDTF">2019-09-24T08:24:00Z</dcterms:created>
  <dcterms:modified xsi:type="dcterms:W3CDTF">2023-07-14T10:17:38Z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16DB4E4A262E48C097916ACC862A3B80</vt:lpwstr>
  </property>
</Properties>
</file>