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/>
          <w:w w:val="10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 w:val="0"/>
          <w:bCs/>
          <w:w w:val="100"/>
          <w:sz w:val="44"/>
          <w:szCs w:val="44"/>
        </w:rPr>
        <w:t>汶川县</w:t>
      </w:r>
      <w:r>
        <w:rPr>
          <w:rFonts w:ascii="方正小标宋简体" w:eastAsia="方正小标宋简体" w:cs="方正小标宋简体" w:hint="eastAsia"/>
          <w:b w:val="0"/>
          <w:bCs/>
          <w:w w:val="100"/>
          <w:sz w:val="44"/>
          <w:szCs w:val="44"/>
          <w:lang w:val="en-US" w:eastAsia="zh-CN"/>
        </w:rPr>
        <w:t>2023年第一批入园创业补助发放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/>
          <w:w w:val="100"/>
          <w:sz w:val="44"/>
          <w:szCs w:val="44"/>
        </w:rPr>
      </w:pPr>
      <w:r>
        <w:rPr>
          <w:rFonts w:ascii="方正小标宋简体" w:eastAsia="方正小标宋简体" w:cs="方正小标宋简体" w:hint="eastAsia"/>
          <w:b w:val="0"/>
          <w:bCs/>
          <w:w w:val="100"/>
          <w:sz w:val="44"/>
          <w:szCs w:val="44"/>
          <w:lang w:val="en-US" w:eastAsia="zh-CN"/>
        </w:rPr>
        <w:t>情况</w:t>
      </w:r>
      <w:r>
        <w:rPr>
          <w:rFonts w:ascii="方正小标宋简体" w:eastAsia="方正小标宋简体" w:cs="方正小标宋简体" w:hint="eastAsia"/>
          <w:b w:val="0"/>
          <w:bCs/>
          <w:w w:val="100"/>
          <w:sz w:val="44"/>
          <w:szCs w:val="44"/>
        </w:rPr>
        <w:t>公示</w:t>
      </w:r>
    </w:p>
    <w:p>
      <w:pPr>
        <w:rPr>
          <w:rFonts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按照</w:t>
      </w:r>
      <w:r>
        <w:rPr>
          <w:rFonts w:ascii="仿宋_GB2312" w:eastAsia="仿宋_GB2312" w:cs="仿宋_GB2312" w:hint="eastAsia"/>
          <w:sz w:val="32"/>
          <w:szCs w:val="32"/>
        </w:rPr>
        <w:t>《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中共汶川县委办公室 汶川县人民政府办公室关于印发〈汶川县支持青年创新创业若干措施〉的通知</w:t>
      </w:r>
      <w:r>
        <w:rPr>
          <w:rFonts w:ascii="仿宋_GB2312" w:eastAsia="仿宋_GB2312" w:cs="仿宋_GB2312" w:hint="eastAsia"/>
          <w:sz w:val="32"/>
          <w:szCs w:val="32"/>
        </w:rPr>
        <w:t>》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汶委办〔2022〕-340号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要求</w:t>
      </w:r>
      <w:r>
        <w:rPr>
          <w:rFonts w:ascii="仿宋_GB2312" w:eastAsia="仿宋_GB2312" w:cs="仿宋_GB2312" w:hint="eastAsia"/>
          <w:sz w:val="32"/>
          <w:szCs w:val="32"/>
        </w:rPr>
        <w:t>，经过申请、审查、复审等程序，现将我县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2023年第一批入园创业补助发放情况</w:t>
      </w:r>
      <w:r>
        <w:rPr>
          <w:rFonts w:ascii="仿宋_GB2312" w:eastAsia="仿宋_GB2312" w:cs="仿宋_GB2312" w:hint="eastAsia"/>
          <w:sz w:val="32"/>
          <w:szCs w:val="32"/>
        </w:rPr>
        <w:t>予以公布。公示期为202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22</w:t>
      </w:r>
      <w:r>
        <w:rPr>
          <w:rFonts w:ascii="仿宋_GB2312" w:eastAsia="仿宋_GB2312" w:cs="仿宋_GB2312" w:hint="eastAsia"/>
          <w:sz w:val="32"/>
          <w:szCs w:val="32"/>
        </w:rPr>
        <w:t>日至202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27</w:t>
      </w:r>
      <w:r>
        <w:rPr>
          <w:rFonts w:ascii="仿宋_GB2312" w:eastAsia="仿宋_GB2312" w:cs="仿宋_GB2312" w:hint="eastAsia"/>
          <w:sz w:val="32"/>
          <w:szCs w:val="32"/>
        </w:rPr>
        <w:t>日，共7天。广大干部群众如有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异议</w:t>
      </w:r>
      <w:r>
        <w:rPr>
          <w:rFonts w:ascii="仿宋_GB2312" w:eastAsia="仿宋_GB2312" w:cs="仿宋_GB2312" w:hint="eastAsia"/>
          <w:sz w:val="32"/>
          <w:szCs w:val="32"/>
        </w:rPr>
        <w:t>，请于公示期内以真实姓名向汶川县公共就业和人才交流服务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中心</w:t>
      </w:r>
      <w:r>
        <w:rPr>
          <w:rFonts w:ascii="仿宋_GB2312" w:eastAsia="仿宋_GB2312" w:cs="仿宋_GB2312" w:hint="eastAsia"/>
          <w:sz w:val="32"/>
          <w:szCs w:val="32"/>
        </w:rPr>
        <w:t>电话、书面反映或面说，联系电话0837-64496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09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tbl>
      <w:tblPr>
        <w:tblpPr w:leftFromText="180" w:rightFromText="180" w:vertAnchor="text" w:horzAnchor="page" w:tblpX="1005" w:tblpY="396"/>
        <w:tblOverlap w:val="never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75"/>
        <w:gridCol w:w="2415"/>
        <w:gridCol w:w="2190"/>
        <w:gridCol w:w="1920"/>
        <w:gridCol w:w="1275"/>
        <w:gridCol w:w="1140"/>
      </w:tblGrid>
      <w:tr>
        <w:trPr>
          <w:trHeight w:val="8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创业者姓名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申报实体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入园日期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正常运营时长（月）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补助标准（万元）</w:t>
            </w:r>
          </w:p>
        </w:tc>
      </w:tr>
      <w:tr>
        <w:trPr>
          <w:trHeight w:val="8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佘余红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513***********141X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阿坝汶川汶羌源电子商务有限公司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2022年3月1日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余永成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513***********0010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汶川沐格家庭农场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2022年7月25日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7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董益顺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513***********0077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阿坝州汶川县藏羌西咪卟电子商务有限公司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2022年7月25日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何泽鹏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513***********0016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汶川县无忧良品网络科技有限公司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2020年7月10日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700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合计：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900" w:firstLine="288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</w:rPr>
        <w:t>汶川县公共就业和人才交流服务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0" w:hangingChars="1500" w:hanging="480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 xml:space="preserve"> 202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YTlhMGM3NzBlMDYwNTdiMDYyMzVhYThjM2ExMDMxNj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367</Words>
  <Characters>492</Characters>
  <Lines>63</Lines>
  <Paragraphs>42</Paragraphs>
  <CharactersWithSpaces>538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dw</dc:creator>
  <cp:lastModifiedBy>jf-pc</cp:lastModifiedBy>
  <cp:revision>5</cp:revision>
  <cp:lastPrinted>2023-08-03T08:02:00Z</cp:lastPrinted>
  <dcterms:created xsi:type="dcterms:W3CDTF">2019-06-04T00:56:00Z</dcterms:created>
  <dcterms:modified xsi:type="dcterms:W3CDTF">2023-11-22T08:41:58Z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2052-11.8.2.12094</vt:lpwstr>
  </property>
  <property fmtid="{D5CDD505-2E9C-101B-9397-08002B2CF9AE}" pid="3" name="ICV">
    <vt:lpwstr>3F34C9E052824386B7E532BBC75C9713</vt:lpwstr>
  </property>
</Properties>
</file>